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A6B4" w14:textId="38EAFEE8" w:rsidR="006000BF" w:rsidRDefault="006000BF" w:rsidP="006000BF">
      <w:pPr>
        <w:rPr>
          <w:b/>
        </w:rPr>
      </w:pPr>
      <w:r>
        <w:rPr>
          <w:noProof/>
        </w:rPr>
        <w:drawing>
          <wp:anchor distT="0" distB="0" distL="114300" distR="114300" simplePos="0" relativeHeight="251657728" behindDoc="1" locked="0" layoutInCell="1" allowOverlap="1" wp14:anchorId="2A41EEE9" wp14:editId="38408CA1">
            <wp:simplePos x="0" y="0"/>
            <wp:positionH relativeFrom="page">
              <wp:posOffset>5257800</wp:posOffset>
            </wp:positionH>
            <wp:positionV relativeFrom="paragraph">
              <wp:posOffset>-409575</wp:posOffset>
            </wp:positionV>
            <wp:extent cx="1877060" cy="68516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060" cy="685165"/>
                    </a:xfrm>
                    <a:prstGeom prst="rect">
                      <a:avLst/>
                    </a:prstGeom>
                    <a:noFill/>
                  </pic:spPr>
                </pic:pic>
              </a:graphicData>
            </a:graphic>
            <wp14:sizeRelH relativeFrom="page">
              <wp14:pctWidth>0</wp14:pctWidth>
            </wp14:sizeRelH>
            <wp14:sizeRelV relativeFrom="page">
              <wp14:pctHeight>0</wp14:pctHeight>
            </wp14:sizeRelV>
          </wp:anchor>
        </w:drawing>
      </w:r>
    </w:p>
    <w:p w14:paraId="6649FA35" w14:textId="77777777" w:rsidR="006000BF" w:rsidRPr="00B35965" w:rsidRDefault="006000BF" w:rsidP="00B35965">
      <w:pPr>
        <w:rPr>
          <w:b/>
        </w:rPr>
      </w:pPr>
    </w:p>
    <w:p w14:paraId="1F5FC1A6" w14:textId="77777777" w:rsidR="006000BF" w:rsidRPr="00B35965" w:rsidRDefault="006000BF" w:rsidP="00B35965">
      <w:pPr>
        <w:rPr>
          <w:b/>
        </w:rPr>
      </w:pPr>
    </w:p>
    <w:p w14:paraId="6F66A2C8" w14:textId="77777777" w:rsidR="00676309" w:rsidRPr="00B35965" w:rsidRDefault="00676309" w:rsidP="00B35965">
      <w:pPr>
        <w:rPr>
          <w:b/>
          <w:sz w:val="28"/>
        </w:rPr>
      </w:pPr>
      <w:r w:rsidRPr="00B35965">
        <w:rPr>
          <w:b/>
          <w:sz w:val="28"/>
        </w:rPr>
        <w:t>FEDERAL EMERGENCY MANAGEMENT AGENCY (FEMA)</w:t>
      </w:r>
    </w:p>
    <w:p w14:paraId="722E5D41" w14:textId="77777777" w:rsidR="00676309" w:rsidRPr="00B35965" w:rsidRDefault="00676309" w:rsidP="00B35965">
      <w:pPr>
        <w:rPr>
          <w:b/>
          <w:sz w:val="28"/>
        </w:rPr>
      </w:pPr>
      <w:r w:rsidRPr="00B35965">
        <w:rPr>
          <w:b/>
          <w:sz w:val="28"/>
        </w:rPr>
        <w:t>FEDERAL INSURANCE MITIGATION ADMINISTRATION (FIMA)</w:t>
      </w:r>
    </w:p>
    <w:p w14:paraId="15F64B16" w14:textId="64EE4544" w:rsidR="00676309" w:rsidRPr="00B35965" w:rsidRDefault="00726B78" w:rsidP="00B35965">
      <w:pPr>
        <w:rPr>
          <w:b/>
          <w:sz w:val="28"/>
          <w:u w:val="single"/>
        </w:rPr>
      </w:pPr>
      <w:r w:rsidRPr="00B35965">
        <w:rPr>
          <w:b/>
          <w:sz w:val="28"/>
          <w:u w:val="single"/>
        </w:rPr>
        <w:t>APPEAL DECISION</w:t>
      </w:r>
    </w:p>
    <w:p w14:paraId="72A4E757" w14:textId="77777777" w:rsidR="006000BF" w:rsidRPr="00B35965" w:rsidRDefault="006000BF" w:rsidP="00B35965">
      <w:pPr>
        <w:rPr>
          <w:sz w:val="24"/>
        </w:rPr>
      </w:pPr>
    </w:p>
    <w:p w14:paraId="5793FE42" w14:textId="5AB44BBF" w:rsidR="00676309" w:rsidRPr="00127451" w:rsidRDefault="006000BF" w:rsidP="00B35965">
      <w:pPr>
        <w:rPr>
          <w:i/>
          <w:sz w:val="24"/>
        </w:rPr>
      </w:pPr>
      <w:r w:rsidRPr="00B35965">
        <w:rPr>
          <w:i/>
          <w:sz w:val="24"/>
        </w:rPr>
        <w:t>FEMA Flood Insurance Appeal Decision #</w:t>
      </w:r>
      <w:r w:rsidR="00127451">
        <w:rPr>
          <w:i/>
          <w:sz w:val="24"/>
        </w:rPr>
        <w:t>A10</w:t>
      </w:r>
    </w:p>
    <w:p w14:paraId="5AE492B5" w14:textId="77777777" w:rsidR="00676309" w:rsidRPr="00B35965" w:rsidRDefault="00676309" w:rsidP="00B35965">
      <w:pPr>
        <w:jc w:val="center"/>
      </w:pPr>
    </w:p>
    <w:p w14:paraId="39360884" w14:textId="77777777" w:rsidR="006000BF" w:rsidRPr="00B35965" w:rsidRDefault="006000BF" w:rsidP="00B35965">
      <w:pPr>
        <w:rPr>
          <w:b/>
          <w:u w:val="single"/>
        </w:rPr>
      </w:pPr>
    </w:p>
    <w:p w14:paraId="0DDD144E" w14:textId="21D854C9" w:rsidR="00676309" w:rsidRPr="00B35965" w:rsidRDefault="00676309" w:rsidP="00B35965">
      <w:pPr>
        <w:rPr>
          <w:rFonts w:ascii="Franklin Gothic Demi" w:hAnsi="Franklin Gothic Demi"/>
          <w:color w:val="002060"/>
          <w:sz w:val="28"/>
        </w:rPr>
      </w:pPr>
      <w:r w:rsidRPr="00B35965">
        <w:rPr>
          <w:rFonts w:ascii="Franklin Gothic Demi" w:hAnsi="Franklin Gothic Demi"/>
          <w:color w:val="002060"/>
          <w:sz w:val="28"/>
        </w:rPr>
        <w:t>SUMMARY</w:t>
      </w:r>
    </w:p>
    <w:p w14:paraId="7560B30C" w14:textId="03397A77" w:rsidR="00676309" w:rsidRPr="00B35965" w:rsidRDefault="008660D0" w:rsidP="00B35965">
      <w:pPr>
        <w:rPr>
          <w:b/>
          <w:u w:val="single"/>
        </w:rPr>
      </w:pPr>
      <w:r w:rsidRPr="00B35965">
        <w:rPr>
          <w:rFonts w:ascii="Franklin Gothic Demi" w:hAnsi="Franklin Gothic Demi"/>
          <w:noProof/>
          <w:color w:val="002060"/>
          <w:sz w:val="28"/>
        </w:rPr>
        <mc:AlternateContent>
          <mc:Choice Requires="wps">
            <w:drawing>
              <wp:anchor distT="0" distB="0" distL="114300" distR="114300" simplePos="0" relativeHeight="251654656" behindDoc="0" locked="0" layoutInCell="1" allowOverlap="1" wp14:anchorId="5DA544FE" wp14:editId="7A7CC51B">
                <wp:simplePos x="0" y="0"/>
                <wp:positionH relativeFrom="column">
                  <wp:posOffset>0</wp:posOffset>
                </wp:positionH>
                <wp:positionV relativeFrom="paragraph">
                  <wp:posOffset>6985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0D46C" id="Straight Connector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" strokecolor="#002060">
                <v:stroke joinstyle="miter"/>
              </v:line>
            </w:pict>
          </mc:Fallback>
        </mc:AlternateContent>
      </w:r>
    </w:p>
    <w:p w14:paraId="2150D0C7" w14:textId="07F9C8AA" w:rsidR="00F60634" w:rsidRPr="00B35965" w:rsidRDefault="00F60634" w:rsidP="00B35965">
      <w:pPr>
        <w:rPr>
          <w:rFonts w:eastAsia="Times New Roman" w:cs="Times New Roman"/>
        </w:rPr>
      </w:pPr>
      <w:r w:rsidRPr="00B35965">
        <w:rPr>
          <w:rFonts w:eastAsia="Times New Roman" w:cs="Times New Roman"/>
        </w:rPr>
        <w:t>The policyholder</w:t>
      </w:r>
      <w:r w:rsidR="00825ED0">
        <w:rPr>
          <w:rFonts w:eastAsia="Times New Roman" w:cs="Times New Roman"/>
        </w:rPr>
        <w:t>s</w:t>
      </w:r>
      <w:r w:rsidRPr="00B35965">
        <w:rPr>
          <w:rFonts w:eastAsia="Times New Roman" w:cs="Times New Roman"/>
        </w:rPr>
        <w:t xml:space="preserve"> appealed the flood insurance carrier’s (hereinafter “insurer”) denial of a claim under </w:t>
      </w:r>
      <w:r w:rsidR="005B4EE7" w:rsidRPr="00B35965">
        <w:rPr>
          <w:rFonts w:eastAsia="Times New Roman" w:cs="Times New Roman"/>
        </w:rPr>
        <w:t>the Standard</w:t>
      </w:r>
      <w:r w:rsidRPr="00B35965">
        <w:rPr>
          <w:rFonts w:eastAsia="Times New Roman" w:cs="Times New Roman"/>
        </w:rPr>
        <w:t xml:space="preserve"> Flood Insurance Policy (SFIP)</w:t>
      </w:r>
      <w:r w:rsidRPr="00B35965">
        <w:rPr>
          <w:rStyle w:val="FootnoteReference"/>
          <w:rFonts w:eastAsia="Times New Roman" w:cs="Times New Roman"/>
        </w:rPr>
        <w:footnoteReference w:id="1"/>
      </w:r>
      <w:r w:rsidRPr="00B35965">
        <w:rPr>
          <w:rFonts w:eastAsia="Times New Roman" w:cs="Times New Roman"/>
          <w:position w:val="8"/>
        </w:rPr>
        <w:t xml:space="preserve"> </w:t>
      </w:r>
      <w:r w:rsidRPr="00B35965">
        <w:rPr>
          <w:rFonts w:eastAsia="Times New Roman" w:cs="Times New Roman"/>
        </w:rPr>
        <w:t xml:space="preserve">for damages to </w:t>
      </w:r>
      <w:r w:rsidR="003F18DE">
        <w:rPr>
          <w:rFonts w:eastAsia="Times New Roman" w:cs="Times New Roman"/>
        </w:rPr>
        <w:t>their</w:t>
      </w:r>
      <w:r w:rsidRPr="00B35965">
        <w:rPr>
          <w:rFonts w:eastAsia="Times New Roman" w:cs="Times New Roman"/>
        </w:rPr>
        <w:t xml:space="preserve"> property arising </w:t>
      </w:r>
      <w:r w:rsidR="00127451">
        <w:rPr>
          <w:rFonts w:eastAsia="Times New Roman" w:cs="Times New Roman"/>
        </w:rPr>
        <w:t xml:space="preserve">in </w:t>
      </w:r>
      <w:r w:rsidR="003F18DE">
        <w:rPr>
          <w:rFonts w:eastAsia="Times New Roman" w:cs="Times New Roman"/>
        </w:rPr>
        <w:t>May 2020</w:t>
      </w:r>
      <w:r w:rsidRPr="00B35965">
        <w:rPr>
          <w:rFonts w:eastAsia="Times New Roman" w:cs="Times New Roman"/>
        </w:rPr>
        <w:t>.</w:t>
      </w:r>
    </w:p>
    <w:p w14:paraId="346615B2" w14:textId="77777777" w:rsidR="00F60634" w:rsidRPr="00B35965" w:rsidRDefault="00F60634" w:rsidP="00B35965">
      <w:pPr>
        <w:rPr>
          <w:rFonts w:cs="Times New Roman"/>
        </w:rPr>
      </w:pPr>
    </w:p>
    <w:p w14:paraId="4B5B185E" w14:textId="6A7D471A" w:rsidR="00F60634" w:rsidRPr="00B35965" w:rsidRDefault="00825ED0" w:rsidP="00B35965">
      <w:pPr>
        <w:rPr>
          <w:rFonts w:eastAsia="Times New Roman" w:cs="Times New Roman"/>
        </w:rPr>
      </w:pPr>
      <w:r>
        <w:rPr>
          <w:rFonts w:eastAsia="Times New Roman" w:cs="Times New Roman"/>
        </w:rPr>
        <w:t>The p</w:t>
      </w:r>
      <w:r w:rsidR="00F60634" w:rsidRPr="00B35965">
        <w:rPr>
          <w:rFonts w:eastAsia="Times New Roman" w:cs="Times New Roman"/>
        </w:rPr>
        <w:t>olicyholder</w:t>
      </w:r>
      <w:r>
        <w:rPr>
          <w:rFonts w:eastAsia="Times New Roman" w:cs="Times New Roman"/>
        </w:rPr>
        <w:t>s</w:t>
      </w:r>
      <w:r w:rsidR="00F60634" w:rsidRPr="00B35965">
        <w:rPr>
          <w:rFonts w:eastAsia="Times New Roman" w:cs="Times New Roman"/>
        </w:rPr>
        <w:t xml:space="preserve"> file this appeal under 44 C.F.R</w:t>
      </w:r>
      <w:r w:rsidR="00FE1598">
        <w:rPr>
          <w:rFonts w:eastAsia="Times New Roman" w:cs="Times New Roman"/>
        </w:rPr>
        <w:t>.</w:t>
      </w:r>
      <w:r w:rsidR="00F60634" w:rsidRPr="00B35965">
        <w:rPr>
          <w:rFonts w:eastAsia="Times New Roman" w:cs="Times New Roman"/>
        </w:rPr>
        <w:t xml:space="preserve"> § 62.20. The appeals process is available after the insurer issues a written denial, in whole or in part, of the </w:t>
      </w:r>
      <w:r w:rsidR="006000BF" w:rsidRPr="00B35965">
        <w:rPr>
          <w:rFonts w:eastAsia="Times New Roman" w:cs="Times New Roman"/>
        </w:rPr>
        <w:t>policyholders</w:t>
      </w:r>
      <w:r>
        <w:rPr>
          <w:rFonts w:eastAsia="Times New Roman" w:cs="Times New Roman"/>
        </w:rPr>
        <w:t>’</w:t>
      </w:r>
      <w:r w:rsidR="006000BF" w:rsidRPr="00B35965">
        <w:rPr>
          <w:rFonts w:eastAsia="Times New Roman" w:cs="Times New Roman"/>
        </w:rPr>
        <w:t xml:space="preserve"> </w:t>
      </w:r>
      <w:r w:rsidR="00F60634" w:rsidRPr="00B35965">
        <w:rPr>
          <w:rFonts w:eastAsia="Times New Roman" w:cs="Times New Roman"/>
        </w:rPr>
        <w:t>claim.</w:t>
      </w:r>
      <w:r w:rsidR="00F60634" w:rsidRPr="00B35965">
        <w:rPr>
          <w:rStyle w:val="FootnoteReference"/>
          <w:rFonts w:eastAsia="Times New Roman" w:cs="Times New Roman"/>
        </w:rPr>
        <w:footnoteReference w:id="2"/>
      </w:r>
    </w:p>
    <w:p w14:paraId="00C2ABAA" w14:textId="33C3876B" w:rsidR="00F60634" w:rsidRPr="00B35965" w:rsidRDefault="00F60634" w:rsidP="00B35965">
      <w:pPr>
        <w:rPr>
          <w:rFonts w:cs="Times New Roman"/>
        </w:rPr>
      </w:pPr>
    </w:p>
    <w:p w14:paraId="37D502BA" w14:textId="6A508A67" w:rsidR="00676309" w:rsidRPr="00B35965" w:rsidRDefault="00F60634" w:rsidP="00B35965">
      <w:r w:rsidRPr="00B35965">
        <w:rPr>
          <w:rFonts w:eastAsia="Times New Roman" w:cs="Times New Roman"/>
        </w:rPr>
        <w:t xml:space="preserve">After reviewing the issues, evidence, and relevant authorities, </w:t>
      </w:r>
      <w:r w:rsidRPr="00D0757C">
        <w:rPr>
          <w:rFonts w:eastAsia="Times New Roman" w:cs="Times New Roman"/>
        </w:rPr>
        <w:t>FEMA affirms the insurer’s decision.</w:t>
      </w:r>
    </w:p>
    <w:p w14:paraId="01D673F0" w14:textId="1A0EF331" w:rsidR="00676309" w:rsidRPr="00B35965" w:rsidRDefault="00676309" w:rsidP="00B35965"/>
    <w:p w14:paraId="6C8E75AD" w14:textId="2EE8E6BA" w:rsidR="006000BF" w:rsidRPr="00B35965" w:rsidRDefault="006000BF" w:rsidP="00B35965"/>
    <w:p w14:paraId="19154AE6" w14:textId="5518556D" w:rsidR="0088406B" w:rsidRPr="00B35965" w:rsidRDefault="00676309" w:rsidP="00B35965">
      <w:pPr>
        <w:rPr>
          <w:rFonts w:ascii="Franklin Gothic Demi" w:hAnsi="Franklin Gothic Demi"/>
          <w:sz w:val="28"/>
        </w:rPr>
      </w:pPr>
      <w:r w:rsidRPr="00B35965">
        <w:rPr>
          <w:rFonts w:ascii="Franklin Gothic Demi" w:hAnsi="Franklin Gothic Demi"/>
          <w:color w:val="002060"/>
          <w:sz w:val="28"/>
        </w:rPr>
        <w:t>BACKGROUND</w:t>
      </w:r>
    </w:p>
    <w:p w14:paraId="1B2A73EA" w14:textId="0FAD34D5" w:rsidR="00676309" w:rsidRPr="00B35965" w:rsidRDefault="008660D0" w:rsidP="00B35965">
      <w:pPr>
        <w:jc w:val="center"/>
        <w:rPr>
          <w:b/>
          <w:u w:val="single"/>
        </w:rPr>
      </w:pPr>
      <w:r w:rsidRPr="00B35965">
        <w:rPr>
          <w:rFonts w:ascii="Franklin Gothic Demi" w:hAnsi="Franklin Gothic Demi"/>
          <w:noProof/>
          <w:color w:val="002060"/>
          <w:sz w:val="28"/>
        </w:rPr>
        <mc:AlternateContent>
          <mc:Choice Requires="wps">
            <w:drawing>
              <wp:anchor distT="0" distB="0" distL="114300" distR="114300" simplePos="0" relativeHeight="251655680" behindDoc="0" locked="0" layoutInCell="1" allowOverlap="1" wp14:anchorId="5CC0C015" wp14:editId="161607C4">
                <wp:simplePos x="0" y="0"/>
                <wp:positionH relativeFrom="column">
                  <wp:posOffset>0</wp:posOffset>
                </wp:positionH>
                <wp:positionV relativeFrom="paragraph">
                  <wp:posOffset>27940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2ADF0"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" strokecolor="#002060">
                <v:stroke joinstyle="miter"/>
              </v:line>
            </w:pict>
          </mc:Fallback>
        </mc:AlternateContent>
      </w:r>
      <w:r w:rsidR="002B168D" w:rsidRPr="00B35965">
        <w:rPr>
          <w:b/>
          <w:u w:val="single"/>
        </w:rPr>
        <w:t xml:space="preserve"> </w:t>
      </w:r>
    </w:p>
    <w:p w14:paraId="05A01541" w14:textId="0805433C" w:rsidR="00F60634" w:rsidRPr="00B35965" w:rsidRDefault="00F60634" w:rsidP="00B35965">
      <w:pPr>
        <w:rPr>
          <w:rFonts w:eastAsia="Times New Roman" w:cs="Times New Roman"/>
          <w:b/>
          <w:smallCaps/>
        </w:rPr>
      </w:pPr>
      <w:r w:rsidRPr="00B35965">
        <w:rPr>
          <w:rFonts w:eastAsia="Times New Roman" w:cs="Times New Roman"/>
          <w:b/>
          <w:bCs/>
          <w:smallCaps/>
          <w:position w:val="-1"/>
        </w:rPr>
        <w:t>Coverage</w:t>
      </w:r>
    </w:p>
    <w:p w14:paraId="695C135C" w14:textId="77777777" w:rsidR="00F60634" w:rsidRPr="00B35965" w:rsidRDefault="00F60634" w:rsidP="00B35965">
      <w:pPr>
        <w:rPr>
          <w:rFonts w:cs="Times New Roman"/>
        </w:rPr>
      </w:pPr>
    </w:p>
    <w:p w14:paraId="0C5FABD5" w14:textId="29288C31" w:rsidR="00F60634" w:rsidRPr="001C0406" w:rsidRDefault="00F60634" w:rsidP="001C0406">
      <w:pPr>
        <w:rPr>
          <w:rFonts w:eastAsia="Times New Roman" w:cs="Times New Roman"/>
        </w:rPr>
      </w:pPr>
      <w:r w:rsidRPr="001C0406">
        <w:rPr>
          <w:rFonts w:eastAsia="Times New Roman" w:cs="Times New Roman"/>
        </w:rPr>
        <w:t>The policyholder</w:t>
      </w:r>
      <w:r w:rsidR="00825ED0" w:rsidRPr="001C0406">
        <w:rPr>
          <w:rFonts w:eastAsia="Times New Roman" w:cs="Times New Roman"/>
        </w:rPr>
        <w:t>s</w:t>
      </w:r>
      <w:r w:rsidRPr="001C0406">
        <w:rPr>
          <w:rFonts w:eastAsia="Times New Roman" w:cs="Times New Roman"/>
        </w:rPr>
        <w:t xml:space="preserve"> insure property under the SFIP </w:t>
      </w:r>
      <w:r w:rsidR="00A42294" w:rsidRPr="001C0406">
        <w:rPr>
          <w:rFonts w:eastAsia="Times New Roman" w:cs="Times New Roman"/>
        </w:rPr>
        <w:t>Dwelling</w:t>
      </w:r>
      <w:r w:rsidRPr="001C0406">
        <w:rPr>
          <w:rFonts w:eastAsia="Times New Roman" w:cs="Times New Roman"/>
        </w:rPr>
        <w:t xml:space="preserve"> Form. </w:t>
      </w:r>
      <w:r w:rsidR="003E09CA" w:rsidRPr="001C0406">
        <w:rPr>
          <w:rFonts w:eastAsia="Times New Roman" w:cs="Times New Roman"/>
        </w:rPr>
        <w:t>At the time of loss, t</w:t>
      </w:r>
      <w:r w:rsidRPr="001C0406">
        <w:rPr>
          <w:rFonts w:eastAsia="Times New Roman" w:cs="Times New Roman"/>
        </w:rPr>
        <w:t>he policyholder ha</w:t>
      </w:r>
      <w:r w:rsidR="003E09CA" w:rsidRPr="001C0406">
        <w:rPr>
          <w:rFonts w:eastAsia="Times New Roman" w:cs="Times New Roman"/>
        </w:rPr>
        <w:t>d</w:t>
      </w:r>
      <w:r w:rsidRPr="001C0406">
        <w:rPr>
          <w:rFonts w:eastAsia="Times New Roman" w:cs="Times New Roman"/>
        </w:rPr>
        <w:t xml:space="preserve"> </w:t>
      </w:r>
      <w:r w:rsidR="00A4325F" w:rsidRPr="001C0406">
        <w:rPr>
          <w:rFonts w:eastAsia="Times New Roman" w:cs="Times New Roman"/>
        </w:rPr>
        <w:t>$250,000</w:t>
      </w:r>
      <w:r w:rsidRPr="001C0406">
        <w:rPr>
          <w:rFonts w:eastAsia="Times New Roman" w:cs="Times New Roman"/>
        </w:rPr>
        <w:t xml:space="preserve"> of building coverage and </w:t>
      </w:r>
      <w:r w:rsidR="00A4325F" w:rsidRPr="001C0406">
        <w:rPr>
          <w:rFonts w:eastAsia="Times New Roman" w:cs="Times New Roman"/>
        </w:rPr>
        <w:t>$100,000</w:t>
      </w:r>
      <w:r w:rsidR="005F0DD7" w:rsidRPr="001C0406">
        <w:rPr>
          <w:rFonts w:eastAsia="Times New Roman" w:cs="Times New Roman"/>
        </w:rPr>
        <w:t xml:space="preserve"> of</w:t>
      </w:r>
      <w:r w:rsidRPr="001C0406">
        <w:rPr>
          <w:rFonts w:eastAsia="Times New Roman" w:cs="Times New Roman"/>
        </w:rPr>
        <w:t xml:space="preserve"> </w:t>
      </w:r>
      <w:r w:rsidR="00FC622D" w:rsidRPr="001C0406">
        <w:rPr>
          <w:rFonts w:eastAsia="Times New Roman" w:cs="Times New Roman"/>
        </w:rPr>
        <w:t xml:space="preserve">personal property </w:t>
      </w:r>
      <w:r w:rsidRPr="001C0406">
        <w:rPr>
          <w:rFonts w:eastAsia="Times New Roman" w:cs="Times New Roman"/>
        </w:rPr>
        <w:t xml:space="preserve">coverage. </w:t>
      </w:r>
    </w:p>
    <w:p w14:paraId="4D4FC413" w14:textId="3C0AB7F8" w:rsidR="00F60634" w:rsidRPr="00B35965" w:rsidRDefault="00F60634" w:rsidP="00B35965">
      <w:pPr>
        <w:rPr>
          <w:rFonts w:cs="Times New Roman"/>
        </w:rPr>
      </w:pPr>
    </w:p>
    <w:p w14:paraId="0821E180" w14:textId="627CF9E3" w:rsidR="00F60634" w:rsidRPr="00B35965" w:rsidRDefault="00F60634" w:rsidP="00B35965">
      <w:pPr>
        <w:rPr>
          <w:rFonts w:eastAsia="Times New Roman" w:cs="Times New Roman"/>
          <w:smallCaps/>
        </w:rPr>
      </w:pPr>
      <w:r w:rsidRPr="00B35965">
        <w:rPr>
          <w:rFonts w:eastAsia="Times New Roman" w:cs="Times New Roman"/>
          <w:b/>
          <w:bCs/>
          <w:smallCaps/>
          <w:u w:color="000000"/>
        </w:rPr>
        <w:t>Event and Claim Facts</w:t>
      </w:r>
    </w:p>
    <w:p w14:paraId="16D4A1C0" w14:textId="76027F06" w:rsidR="00F60634" w:rsidRDefault="00F60634" w:rsidP="00B35965">
      <w:pPr>
        <w:rPr>
          <w:rFonts w:cs="Times New Roman"/>
        </w:rPr>
      </w:pPr>
    </w:p>
    <w:p w14:paraId="5B25322E" w14:textId="289A545C" w:rsidR="00107360" w:rsidRDefault="00825ED0" w:rsidP="00B35965">
      <w:pPr>
        <w:rPr>
          <w:rFonts w:cs="Times New Roman"/>
        </w:rPr>
      </w:pPr>
      <w:r>
        <w:rPr>
          <w:rFonts w:cs="Times New Roman"/>
        </w:rPr>
        <w:t xml:space="preserve">Following the claimed flood event, the policyholders filed a claim for damages with their insurer and their insurer assigned an adjuster to inspect the </w:t>
      </w:r>
      <w:proofErr w:type="gramStart"/>
      <w:r>
        <w:rPr>
          <w:rFonts w:cs="Times New Roman"/>
        </w:rPr>
        <w:t>property.</w:t>
      </w:r>
      <w:r w:rsidR="00107360">
        <w:rPr>
          <w:rFonts w:cs="Times New Roman"/>
        </w:rPr>
        <w:t>.</w:t>
      </w:r>
      <w:proofErr w:type="gramEnd"/>
      <w:r w:rsidR="00FC622D">
        <w:rPr>
          <w:rFonts w:cs="Times New Roman"/>
        </w:rPr>
        <w:t xml:space="preserve"> </w:t>
      </w:r>
    </w:p>
    <w:p w14:paraId="341BD556" w14:textId="77777777" w:rsidR="00107360" w:rsidRDefault="00107360" w:rsidP="00B35965">
      <w:pPr>
        <w:rPr>
          <w:rFonts w:cs="Times New Roman"/>
        </w:rPr>
      </w:pPr>
    </w:p>
    <w:p w14:paraId="52B81271" w14:textId="74CBBA2A" w:rsidR="007E1D01" w:rsidRDefault="00127451" w:rsidP="00B35965">
      <w:pPr>
        <w:rPr>
          <w:rFonts w:eastAsia="Times New Roman" w:cs="Times New Roman"/>
        </w:rPr>
      </w:pPr>
      <w:r>
        <w:rPr>
          <w:rFonts w:cs="Times New Roman"/>
        </w:rPr>
        <w:t>In June</w:t>
      </w:r>
      <w:r w:rsidR="00825ED0">
        <w:rPr>
          <w:rFonts w:cs="Times New Roman"/>
        </w:rPr>
        <w:t xml:space="preserve"> 2020, the adjuster inspected the policyholders’ property and determined a general and temporary condition of flooding did not exist on the claimed date of loss. </w:t>
      </w:r>
      <w:r w:rsidR="00DB26E9">
        <w:rPr>
          <w:rFonts w:eastAsia="Times New Roman" w:cs="Times New Roman"/>
        </w:rPr>
        <w:t xml:space="preserve">The adjuster </w:t>
      </w:r>
      <w:r w:rsidR="005B4EE7">
        <w:rPr>
          <w:rFonts w:eastAsia="Times New Roman" w:cs="Times New Roman"/>
        </w:rPr>
        <w:t>canvassed</w:t>
      </w:r>
      <w:r w:rsidR="00C66B78">
        <w:rPr>
          <w:rFonts w:eastAsia="Times New Roman" w:cs="Times New Roman"/>
        </w:rPr>
        <w:t xml:space="preserve"> the neighborhood and </w:t>
      </w:r>
      <w:r w:rsidR="00825ED0">
        <w:rPr>
          <w:rFonts w:eastAsia="Times New Roman" w:cs="Times New Roman"/>
        </w:rPr>
        <w:t xml:space="preserve">determined </w:t>
      </w:r>
      <w:r w:rsidR="00181DC1">
        <w:rPr>
          <w:rFonts w:eastAsia="Times New Roman" w:cs="Times New Roman"/>
        </w:rPr>
        <w:t xml:space="preserve">the </w:t>
      </w:r>
      <w:r w:rsidR="00DB26E9">
        <w:rPr>
          <w:rFonts w:eastAsia="Times New Roman" w:cs="Times New Roman"/>
        </w:rPr>
        <w:t xml:space="preserve">ground around the </w:t>
      </w:r>
      <w:r w:rsidR="00181DC1">
        <w:rPr>
          <w:rFonts w:eastAsia="Times New Roman" w:cs="Times New Roman"/>
        </w:rPr>
        <w:t>property was wet</w:t>
      </w:r>
      <w:r w:rsidR="00181DC1" w:rsidRPr="00181DC1">
        <w:rPr>
          <w:rFonts w:eastAsia="Times New Roman" w:cs="Times New Roman"/>
        </w:rPr>
        <w:t xml:space="preserve">, </w:t>
      </w:r>
      <w:r w:rsidR="00C66B78">
        <w:rPr>
          <w:rFonts w:eastAsia="Times New Roman" w:cs="Times New Roman"/>
        </w:rPr>
        <w:t xml:space="preserve">but </w:t>
      </w:r>
      <w:r w:rsidR="00181DC1" w:rsidRPr="00181DC1">
        <w:rPr>
          <w:rFonts w:eastAsia="Times New Roman" w:cs="Times New Roman"/>
        </w:rPr>
        <w:t>there was no debris</w:t>
      </w:r>
      <w:r w:rsidR="00DB26E9">
        <w:rPr>
          <w:rFonts w:eastAsia="Times New Roman" w:cs="Times New Roman"/>
        </w:rPr>
        <w:t>,</w:t>
      </w:r>
      <w:r w:rsidR="00181DC1" w:rsidRPr="00181DC1">
        <w:rPr>
          <w:rFonts w:eastAsia="Times New Roman" w:cs="Times New Roman"/>
        </w:rPr>
        <w:t xml:space="preserve"> </w:t>
      </w:r>
      <w:r w:rsidR="00181DC1">
        <w:rPr>
          <w:rFonts w:eastAsia="Times New Roman" w:cs="Times New Roman"/>
        </w:rPr>
        <w:t>exterior</w:t>
      </w:r>
      <w:r w:rsidR="0081190E">
        <w:rPr>
          <w:rFonts w:eastAsia="Times New Roman" w:cs="Times New Roman"/>
        </w:rPr>
        <w:t xml:space="preserve"> or </w:t>
      </w:r>
      <w:r w:rsidR="00181DC1">
        <w:rPr>
          <w:rFonts w:eastAsia="Times New Roman" w:cs="Times New Roman"/>
        </w:rPr>
        <w:t xml:space="preserve">interior </w:t>
      </w:r>
      <w:r w:rsidR="00181DC1" w:rsidRPr="00181DC1">
        <w:rPr>
          <w:rFonts w:eastAsia="Times New Roman" w:cs="Times New Roman"/>
        </w:rPr>
        <w:t>water</w:t>
      </w:r>
      <w:r w:rsidR="00C66B78">
        <w:rPr>
          <w:rFonts w:eastAsia="Times New Roman" w:cs="Times New Roman"/>
        </w:rPr>
        <w:t>lines to the building</w:t>
      </w:r>
      <w:r w:rsidR="00DB26E9">
        <w:rPr>
          <w:rFonts w:eastAsia="Times New Roman" w:cs="Times New Roman"/>
        </w:rPr>
        <w:t>,</w:t>
      </w:r>
      <w:r w:rsidR="00181DC1">
        <w:rPr>
          <w:rFonts w:eastAsia="Times New Roman" w:cs="Times New Roman"/>
        </w:rPr>
        <w:t xml:space="preserve"> and no reported damage to the property.</w:t>
      </w:r>
      <w:r w:rsidR="007E1D01">
        <w:rPr>
          <w:rStyle w:val="FootnoteReference"/>
          <w:rFonts w:eastAsia="Times New Roman" w:cs="Times New Roman"/>
        </w:rPr>
        <w:footnoteReference w:id="3"/>
      </w:r>
      <w:r w:rsidR="00181DC1">
        <w:rPr>
          <w:rFonts w:eastAsia="Times New Roman" w:cs="Times New Roman"/>
        </w:rPr>
        <w:t xml:space="preserve"> The adjuster </w:t>
      </w:r>
      <w:r w:rsidR="00F43721">
        <w:rPr>
          <w:rFonts w:eastAsia="Times New Roman" w:cs="Times New Roman"/>
        </w:rPr>
        <w:t xml:space="preserve">determined there was evidence of erosion of soil due to multiple </w:t>
      </w:r>
      <w:proofErr w:type="gramStart"/>
      <w:r w:rsidR="00F43721">
        <w:rPr>
          <w:rFonts w:eastAsia="Times New Roman" w:cs="Times New Roman"/>
        </w:rPr>
        <w:t>floods, but</w:t>
      </w:r>
      <w:proofErr w:type="gramEnd"/>
      <w:r w:rsidR="00F43721">
        <w:rPr>
          <w:rFonts w:eastAsia="Times New Roman" w:cs="Times New Roman"/>
        </w:rPr>
        <w:t xml:space="preserve"> </w:t>
      </w:r>
      <w:r w:rsidR="00C66B78">
        <w:rPr>
          <w:rFonts w:eastAsia="Times New Roman" w:cs="Times New Roman"/>
        </w:rPr>
        <w:t xml:space="preserve">observed no </w:t>
      </w:r>
      <w:r w:rsidR="00F43721">
        <w:rPr>
          <w:rFonts w:eastAsia="Times New Roman" w:cs="Times New Roman"/>
        </w:rPr>
        <w:t xml:space="preserve">damage to the residence or foundation system. </w:t>
      </w:r>
      <w:r w:rsidR="00181DC1">
        <w:rPr>
          <w:rFonts w:eastAsia="Times New Roman" w:cs="Times New Roman"/>
        </w:rPr>
        <w:t>The policyholder</w:t>
      </w:r>
      <w:r w:rsidR="00F43721">
        <w:rPr>
          <w:rFonts w:eastAsia="Times New Roman" w:cs="Times New Roman"/>
        </w:rPr>
        <w:t xml:space="preserve">s contended the claimed flood event caused soil to erode behind the retaining </w:t>
      </w:r>
      <w:r w:rsidR="00F43721">
        <w:rPr>
          <w:rFonts w:eastAsia="Times New Roman" w:cs="Times New Roman"/>
        </w:rPr>
        <w:lastRenderedPageBreak/>
        <w:t xml:space="preserve">wall, causing damage to their building. The adjuster recommended the insurer retain an engineer to determine the extent of the structural damage caused by or from flood. </w:t>
      </w:r>
    </w:p>
    <w:p w14:paraId="5507BA92" w14:textId="77777777" w:rsidR="00CE2A70" w:rsidRDefault="00CE2A70" w:rsidP="00B35965">
      <w:pPr>
        <w:rPr>
          <w:rFonts w:eastAsia="Times New Roman" w:cs="Times New Roman"/>
        </w:rPr>
      </w:pPr>
    </w:p>
    <w:p w14:paraId="003339C6" w14:textId="543F0DED" w:rsidR="00F60634" w:rsidRDefault="00127451" w:rsidP="00B35965">
      <w:pPr>
        <w:rPr>
          <w:rFonts w:eastAsia="Times New Roman" w:cs="Times New Roman"/>
        </w:rPr>
      </w:pPr>
      <w:r>
        <w:rPr>
          <w:rFonts w:eastAsia="Times New Roman" w:cs="Times New Roman"/>
        </w:rPr>
        <w:t xml:space="preserve">In June </w:t>
      </w:r>
      <w:r w:rsidR="00B1365C">
        <w:rPr>
          <w:rFonts w:eastAsia="Times New Roman" w:cs="Times New Roman"/>
        </w:rPr>
        <w:t>2020, t</w:t>
      </w:r>
      <w:r w:rsidR="00181DC1">
        <w:rPr>
          <w:rFonts w:eastAsia="Times New Roman" w:cs="Times New Roman"/>
        </w:rPr>
        <w:t xml:space="preserve">he </w:t>
      </w:r>
      <w:r w:rsidR="00B1365C">
        <w:rPr>
          <w:rFonts w:eastAsia="Times New Roman" w:cs="Times New Roman"/>
        </w:rPr>
        <w:t xml:space="preserve">insurer’s </w:t>
      </w:r>
      <w:r w:rsidR="00181DC1">
        <w:rPr>
          <w:rFonts w:eastAsia="Times New Roman" w:cs="Times New Roman"/>
        </w:rPr>
        <w:t xml:space="preserve">engineer inspected the property </w:t>
      </w:r>
      <w:r w:rsidR="00B1365C">
        <w:rPr>
          <w:rFonts w:eastAsia="Times New Roman" w:cs="Times New Roman"/>
        </w:rPr>
        <w:t>and determined the policyholders’ building</w:t>
      </w:r>
      <w:r w:rsidR="00181DC1" w:rsidRPr="00181DC1">
        <w:rPr>
          <w:rFonts w:eastAsia="Times New Roman" w:cs="Times New Roman"/>
        </w:rPr>
        <w:t xml:space="preserve"> sits 60</w:t>
      </w:r>
      <w:r w:rsidR="00CE2A70">
        <w:rPr>
          <w:rFonts w:eastAsia="Times New Roman" w:cs="Times New Roman"/>
        </w:rPr>
        <w:t xml:space="preserve"> feet</w:t>
      </w:r>
      <w:r w:rsidR="00181DC1" w:rsidRPr="00181DC1">
        <w:rPr>
          <w:rFonts w:eastAsia="Times New Roman" w:cs="Times New Roman"/>
        </w:rPr>
        <w:t xml:space="preserve"> above the Licking River</w:t>
      </w:r>
      <w:r w:rsidR="00181DC1">
        <w:rPr>
          <w:rFonts w:eastAsia="Times New Roman" w:cs="Times New Roman"/>
        </w:rPr>
        <w:t>.</w:t>
      </w:r>
      <w:r w:rsidR="00995326">
        <w:rPr>
          <w:rStyle w:val="FootnoteReference"/>
          <w:rFonts w:eastAsia="Times New Roman" w:cs="Times New Roman"/>
        </w:rPr>
        <w:footnoteReference w:id="4"/>
      </w:r>
      <w:r w:rsidR="00181DC1">
        <w:rPr>
          <w:rFonts w:eastAsia="Times New Roman" w:cs="Times New Roman"/>
        </w:rPr>
        <w:t xml:space="preserve"> </w:t>
      </w:r>
      <w:r w:rsidR="00602AE8">
        <w:rPr>
          <w:rFonts w:eastAsia="Times New Roman" w:cs="Times New Roman"/>
        </w:rPr>
        <w:t xml:space="preserve">The </w:t>
      </w:r>
      <w:r w:rsidR="00B1365C">
        <w:rPr>
          <w:rFonts w:eastAsia="Times New Roman" w:cs="Times New Roman"/>
        </w:rPr>
        <w:t xml:space="preserve">insurer’s </w:t>
      </w:r>
      <w:r w:rsidR="00602AE8">
        <w:rPr>
          <w:rFonts w:eastAsia="Times New Roman" w:cs="Times New Roman"/>
        </w:rPr>
        <w:t xml:space="preserve">engineer concluded </w:t>
      </w:r>
      <w:r w:rsidR="00B1365C">
        <w:rPr>
          <w:rFonts w:eastAsia="Times New Roman" w:cs="Times New Roman"/>
        </w:rPr>
        <w:t>the</w:t>
      </w:r>
      <w:r w:rsidR="00181DC1" w:rsidRPr="00181DC1">
        <w:rPr>
          <w:rFonts w:eastAsia="Times New Roman" w:cs="Times New Roman"/>
        </w:rPr>
        <w:t xml:space="preserve"> soil erosion</w:t>
      </w:r>
      <w:r w:rsidR="00DE3FB5">
        <w:rPr>
          <w:rFonts w:eastAsia="Times New Roman" w:cs="Times New Roman"/>
        </w:rPr>
        <w:t xml:space="preserve"> was</w:t>
      </w:r>
      <w:r w:rsidR="00181DC1" w:rsidRPr="00181DC1">
        <w:rPr>
          <w:rFonts w:eastAsia="Times New Roman" w:cs="Times New Roman"/>
        </w:rPr>
        <w:t xml:space="preserve"> due to multiple floods over </w:t>
      </w:r>
      <w:r w:rsidR="00952A33" w:rsidRPr="00181DC1">
        <w:rPr>
          <w:rFonts w:eastAsia="Times New Roman" w:cs="Times New Roman"/>
        </w:rPr>
        <w:t>140</w:t>
      </w:r>
      <w:r w:rsidR="00B1365C">
        <w:rPr>
          <w:rFonts w:eastAsia="Times New Roman" w:cs="Times New Roman"/>
        </w:rPr>
        <w:t xml:space="preserve"> years</w:t>
      </w:r>
      <w:r w:rsidR="00DE3FB5">
        <w:rPr>
          <w:rFonts w:eastAsia="Times New Roman" w:cs="Times New Roman"/>
        </w:rPr>
        <w:t xml:space="preserve">. </w:t>
      </w:r>
      <w:r w:rsidR="00B1365C">
        <w:rPr>
          <w:rFonts w:eastAsia="Times New Roman" w:cs="Times New Roman"/>
        </w:rPr>
        <w:t xml:space="preserve">The insurer’s engineer concluded no general and temporary condition of flooding existed on the claimed date of loss and the building sustained no </w:t>
      </w:r>
      <w:r w:rsidR="00181DC1" w:rsidRPr="00181DC1">
        <w:rPr>
          <w:rFonts w:eastAsia="Times New Roman" w:cs="Times New Roman"/>
        </w:rPr>
        <w:t>structural dam</w:t>
      </w:r>
      <w:r w:rsidR="00602AE8">
        <w:rPr>
          <w:rFonts w:eastAsia="Times New Roman" w:cs="Times New Roman"/>
        </w:rPr>
        <w:t>age</w:t>
      </w:r>
      <w:r w:rsidR="00181DC1" w:rsidRPr="00181DC1">
        <w:rPr>
          <w:rFonts w:eastAsia="Times New Roman" w:cs="Times New Roman"/>
        </w:rPr>
        <w:t>s</w:t>
      </w:r>
      <w:r w:rsidR="00DE3FB5">
        <w:rPr>
          <w:rFonts w:eastAsia="Times New Roman" w:cs="Times New Roman"/>
        </w:rPr>
        <w:t xml:space="preserve"> </w:t>
      </w:r>
      <w:r w:rsidR="00B1365C">
        <w:rPr>
          <w:rFonts w:eastAsia="Times New Roman" w:cs="Times New Roman"/>
        </w:rPr>
        <w:t xml:space="preserve">from the claimed May 2020 flood event. </w:t>
      </w:r>
    </w:p>
    <w:p w14:paraId="0627944D" w14:textId="77777777" w:rsidR="00057A1B" w:rsidRDefault="00057A1B" w:rsidP="00B35965">
      <w:pPr>
        <w:rPr>
          <w:rFonts w:eastAsia="Times New Roman" w:cs="Times New Roman"/>
        </w:rPr>
      </w:pPr>
    </w:p>
    <w:p w14:paraId="6191CBA2" w14:textId="40040F94" w:rsidR="00DE3FB5" w:rsidRPr="00B35965" w:rsidRDefault="00DE3FB5" w:rsidP="00DE3FB5">
      <w:pPr>
        <w:rPr>
          <w:rFonts w:eastAsia="Times New Roman" w:cs="Times New Roman"/>
        </w:rPr>
      </w:pPr>
      <w:r>
        <w:rPr>
          <w:rFonts w:eastAsia="Times New Roman" w:cs="Times New Roman"/>
        </w:rPr>
        <w:t xml:space="preserve">In a letter </w:t>
      </w:r>
      <w:r w:rsidRPr="00602AE8">
        <w:rPr>
          <w:rFonts w:eastAsia="Times New Roman" w:cs="Times New Roman"/>
        </w:rPr>
        <w:t>dated July 2020,</w:t>
      </w:r>
      <w:r>
        <w:rPr>
          <w:rFonts w:eastAsia="Times New Roman" w:cs="Times New Roman"/>
        </w:rPr>
        <w:t xml:space="preserve"> the insurer </w:t>
      </w:r>
      <w:r w:rsidR="00602AE8" w:rsidRPr="00602AE8">
        <w:rPr>
          <w:rFonts w:eastAsia="Times New Roman" w:cs="Times New Roman"/>
        </w:rPr>
        <w:t xml:space="preserve">denied </w:t>
      </w:r>
      <w:r>
        <w:rPr>
          <w:rFonts w:eastAsia="Times New Roman" w:cs="Times New Roman"/>
        </w:rPr>
        <w:t xml:space="preserve">coverage, </w:t>
      </w:r>
      <w:r w:rsidRPr="00602AE8">
        <w:rPr>
          <w:rFonts w:eastAsia="Times New Roman" w:cs="Times New Roman"/>
        </w:rPr>
        <w:t xml:space="preserve">citing no general </w:t>
      </w:r>
      <w:r w:rsidR="00B1365C">
        <w:rPr>
          <w:rFonts w:eastAsia="Times New Roman" w:cs="Times New Roman"/>
        </w:rPr>
        <w:t xml:space="preserve">and temporary </w:t>
      </w:r>
      <w:r w:rsidRPr="00602AE8">
        <w:rPr>
          <w:rFonts w:eastAsia="Times New Roman" w:cs="Times New Roman"/>
        </w:rPr>
        <w:t>condition</w:t>
      </w:r>
      <w:r w:rsidR="001628D8">
        <w:rPr>
          <w:rFonts w:eastAsia="Times New Roman" w:cs="Times New Roman"/>
        </w:rPr>
        <w:t>, the earth movement exclusion, and no direct physical loss</w:t>
      </w:r>
      <w:r w:rsidR="00B1365C">
        <w:rPr>
          <w:rFonts w:eastAsia="Times New Roman" w:cs="Times New Roman"/>
        </w:rPr>
        <w:t xml:space="preserve"> by or from flood</w:t>
      </w:r>
      <w:r w:rsidRPr="00602AE8">
        <w:rPr>
          <w:rFonts w:eastAsia="Times New Roman" w:cs="Times New Roman"/>
        </w:rPr>
        <w:t xml:space="preserve">. </w:t>
      </w:r>
    </w:p>
    <w:p w14:paraId="371EBF50" w14:textId="77777777" w:rsidR="005D3807" w:rsidRPr="00B35965" w:rsidRDefault="005D3807" w:rsidP="00B35965">
      <w:pPr>
        <w:rPr>
          <w:rFonts w:eastAsia="Times New Roman" w:cs="Times New Roman"/>
        </w:rPr>
      </w:pPr>
    </w:p>
    <w:p w14:paraId="319E3BED" w14:textId="52AE460C" w:rsidR="005D3807" w:rsidRPr="001C0406" w:rsidRDefault="005D3807" w:rsidP="001C0406">
      <w:pPr>
        <w:rPr>
          <w:rFonts w:eastAsia="Times New Roman" w:cs="Times New Roman"/>
        </w:rPr>
      </w:pPr>
      <w:r w:rsidRPr="001C0406">
        <w:rPr>
          <w:rFonts w:eastAsia="Times New Roman" w:cs="Times New Roman"/>
        </w:rPr>
        <w:t>The policyholder</w:t>
      </w:r>
      <w:r w:rsidR="00B1365C" w:rsidRPr="001C0406">
        <w:rPr>
          <w:rFonts w:eastAsia="Times New Roman" w:cs="Times New Roman"/>
        </w:rPr>
        <w:t>s</w:t>
      </w:r>
      <w:r w:rsidRPr="001C0406">
        <w:rPr>
          <w:rFonts w:eastAsia="Times New Roman" w:cs="Times New Roman"/>
        </w:rPr>
        <w:t xml:space="preserve"> appealed the denial to FEMA in a</w:t>
      </w:r>
      <w:r w:rsidR="00602AE8" w:rsidRPr="001C0406">
        <w:rPr>
          <w:rFonts w:eastAsia="Times New Roman" w:cs="Times New Roman"/>
        </w:rPr>
        <w:t>n email</w:t>
      </w:r>
      <w:r w:rsidRPr="001C0406">
        <w:rPr>
          <w:rFonts w:eastAsia="Times New Roman" w:cs="Times New Roman"/>
        </w:rPr>
        <w:t>.</w:t>
      </w:r>
      <w:r w:rsidR="00B1365C" w:rsidRPr="001C0406">
        <w:rPr>
          <w:rFonts w:eastAsia="Times New Roman" w:cs="Times New Roman"/>
        </w:rPr>
        <w:t xml:space="preserve"> In support of their appeal, the policyholders submit a </w:t>
      </w:r>
      <w:r w:rsidR="001037E6" w:rsidRPr="001C0406">
        <w:rPr>
          <w:rFonts w:eastAsia="Times New Roman" w:cs="Times New Roman"/>
        </w:rPr>
        <w:t>copy of their engineer’s report</w:t>
      </w:r>
      <w:r w:rsidR="00432A2B" w:rsidRPr="001C0406">
        <w:rPr>
          <w:rFonts w:eastAsia="Times New Roman" w:cs="Times New Roman"/>
        </w:rPr>
        <w:t>, contractor proposal, and proofs of payment</w:t>
      </w:r>
      <w:r w:rsidR="001037E6" w:rsidRPr="001C0406">
        <w:rPr>
          <w:rFonts w:eastAsia="Times New Roman" w:cs="Times New Roman"/>
        </w:rPr>
        <w:t xml:space="preserve">. </w:t>
      </w:r>
    </w:p>
    <w:p w14:paraId="7F00BE40" w14:textId="5A8FA146" w:rsidR="00995326" w:rsidRDefault="00995326" w:rsidP="00B35965">
      <w:pPr>
        <w:rPr>
          <w:rFonts w:eastAsia="Times New Roman" w:cs="Times New Roman"/>
        </w:rPr>
      </w:pPr>
    </w:p>
    <w:p w14:paraId="532AD65E" w14:textId="405679DE" w:rsidR="00995326" w:rsidRPr="00B35965" w:rsidRDefault="00507854" w:rsidP="00B35965">
      <w:pPr>
        <w:rPr>
          <w:rFonts w:eastAsia="Times New Roman" w:cs="Times New Roman"/>
        </w:rPr>
      </w:pPr>
      <w:r>
        <w:rPr>
          <w:rFonts w:eastAsia="Times New Roman" w:cs="Times New Roman"/>
        </w:rPr>
        <w:t>In an addendum report dated October 2020, the insurer’s engineer reaffirmed his conclusion that no general and temporary condition of flood existed on the claimed date of loss.</w:t>
      </w:r>
      <w:r>
        <w:rPr>
          <w:rStyle w:val="FootnoteReference"/>
          <w:rFonts w:eastAsia="Times New Roman" w:cs="Times New Roman"/>
        </w:rPr>
        <w:footnoteReference w:id="5"/>
      </w:r>
      <w:r>
        <w:rPr>
          <w:rFonts w:eastAsia="Times New Roman" w:cs="Times New Roman"/>
        </w:rPr>
        <w:t xml:space="preserve"> The insurer’s engineer also concluded the stabilization issues of the property have been ongoing since 1990 and are not caused from a one-time flood event. </w:t>
      </w:r>
    </w:p>
    <w:p w14:paraId="29C94788" w14:textId="77777777" w:rsidR="00676309" w:rsidRPr="00B35965" w:rsidRDefault="00676309" w:rsidP="00B35965">
      <w:pPr>
        <w:rPr>
          <w:b/>
          <w:u w:val="single"/>
        </w:rPr>
      </w:pPr>
    </w:p>
    <w:p w14:paraId="29CA0533" w14:textId="4EBB18F1" w:rsidR="00676309" w:rsidRPr="00B35965" w:rsidRDefault="00F60634" w:rsidP="00B35965">
      <w:pPr>
        <w:rPr>
          <w:rFonts w:ascii="Franklin Gothic Demi" w:hAnsi="Franklin Gothic Demi"/>
          <w:color w:val="002060"/>
          <w:sz w:val="28"/>
        </w:rPr>
      </w:pPr>
      <w:r w:rsidRPr="009F3AD4">
        <w:rPr>
          <w:rFonts w:ascii="Franklin Gothic Demi" w:hAnsi="Franklin Gothic Demi"/>
          <w:color w:val="002060"/>
          <w:sz w:val="28"/>
        </w:rPr>
        <w:t>ISSUE</w:t>
      </w:r>
    </w:p>
    <w:p w14:paraId="4636325E" w14:textId="1D697BF7" w:rsidR="00676309" w:rsidRPr="00B35965" w:rsidRDefault="008660D0" w:rsidP="00B35965">
      <w:pPr>
        <w:jc w:val="center"/>
        <w:rPr>
          <w:b/>
          <w:u w:val="single"/>
        </w:rPr>
      </w:pPr>
      <w:r w:rsidRPr="00B35965">
        <w:rPr>
          <w:rFonts w:ascii="Franklin Gothic Demi" w:hAnsi="Franklin Gothic Demi"/>
          <w:noProof/>
          <w:color w:val="002060"/>
          <w:sz w:val="28"/>
        </w:rPr>
        <mc:AlternateContent>
          <mc:Choice Requires="wps">
            <w:drawing>
              <wp:anchor distT="0" distB="0" distL="114300" distR="114300" simplePos="0" relativeHeight="251656704" behindDoc="0" locked="0" layoutInCell="1" allowOverlap="1" wp14:anchorId="49B6B220" wp14:editId="1C6174BC">
                <wp:simplePos x="0" y="0"/>
                <wp:positionH relativeFrom="column">
                  <wp:posOffset>0</wp:posOffset>
                </wp:positionH>
                <wp:positionV relativeFrom="paragraph">
                  <wp:posOffset>40640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70BF4"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" strokecolor="#002060">
                <v:stroke joinstyle="miter"/>
              </v:line>
            </w:pict>
          </mc:Fallback>
        </mc:AlternateContent>
      </w:r>
    </w:p>
    <w:p w14:paraId="5C1153E8" w14:textId="76144087" w:rsidR="00EB64F6" w:rsidRPr="001C0406" w:rsidRDefault="00F60634" w:rsidP="001C0406">
      <w:pPr>
        <w:rPr>
          <w:rFonts w:eastAsia="Times New Roman" w:cs="Times New Roman"/>
        </w:rPr>
      </w:pPr>
      <w:r w:rsidRPr="001C0406">
        <w:rPr>
          <w:rFonts w:eastAsia="Times New Roman" w:cs="Times New Roman"/>
        </w:rPr>
        <w:t>The policyholder</w:t>
      </w:r>
      <w:r w:rsidR="00432A2B" w:rsidRPr="001C0406">
        <w:rPr>
          <w:rFonts w:eastAsia="Times New Roman" w:cs="Times New Roman"/>
        </w:rPr>
        <w:t>s</w:t>
      </w:r>
      <w:r w:rsidRPr="001C0406">
        <w:rPr>
          <w:rFonts w:eastAsia="Times New Roman" w:cs="Times New Roman"/>
        </w:rPr>
        <w:t xml:space="preserve"> </w:t>
      </w:r>
      <w:r w:rsidR="00EA75F4" w:rsidRPr="001C0406">
        <w:rPr>
          <w:rFonts w:eastAsia="Times New Roman" w:cs="Times New Roman"/>
        </w:rPr>
        <w:t>appeal</w:t>
      </w:r>
      <w:r w:rsidRPr="001C0406">
        <w:rPr>
          <w:rFonts w:eastAsia="Times New Roman" w:cs="Times New Roman"/>
        </w:rPr>
        <w:t xml:space="preserve"> the </w:t>
      </w:r>
      <w:r w:rsidR="00432A2B" w:rsidRPr="001C0406">
        <w:rPr>
          <w:rFonts w:eastAsia="Times New Roman" w:cs="Times New Roman"/>
        </w:rPr>
        <w:t xml:space="preserve">insurer’s </w:t>
      </w:r>
      <w:r w:rsidRPr="001C0406">
        <w:rPr>
          <w:rFonts w:eastAsia="Times New Roman" w:cs="Times New Roman"/>
        </w:rPr>
        <w:t>denial of coverage for</w:t>
      </w:r>
      <w:r w:rsidR="009F3AD4" w:rsidRPr="001C0406">
        <w:rPr>
          <w:rFonts w:eastAsia="Times New Roman" w:cs="Times New Roman"/>
        </w:rPr>
        <w:t xml:space="preserve"> </w:t>
      </w:r>
      <w:r w:rsidR="001628D8" w:rsidRPr="001C0406">
        <w:rPr>
          <w:rFonts w:eastAsia="Times New Roman" w:cs="Times New Roman"/>
        </w:rPr>
        <w:t xml:space="preserve">no general </w:t>
      </w:r>
      <w:r w:rsidR="00432A2B" w:rsidRPr="001C0406">
        <w:rPr>
          <w:rFonts w:eastAsia="Times New Roman" w:cs="Times New Roman"/>
        </w:rPr>
        <w:t xml:space="preserve">and temporary </w:t>
      </w:r>
      <w:r w:rsidR="001628D8" w:rsidRPr="001C0406">
        <w:rPr>
          <w:rFonts w:eastAsia="Times New Roman" w:cs="Times New Roman"/>
        </w:rPr>
        <w:t xml:space="preserve">condition of flood, earth movement exclusion, and no direct physical </w:t>
      </w:r>
      <w:r w:rsidR="00057A1B" w:rsidRPr="001C0406">
        <w:rPr>
          <w:rFonts w:eastAsia="Times New Roman" w:cs="Times New Roman"/>
        </w:rPr>
        <w:t>loss</w:t>
      </w:r>
      <w:r w:rsidR="00432A2B" w:rsidRPr="001C0406">
        <w:rPr>
          <w:rFonts w:eastAsia="Times New Roman" w:cs="Times New Roman"/>
        </w:rPr>
        <w:t xml:space="preserve"> by or from flood</w:t>
      </w:r>
      <w:r w:rsidR="00057A1B" w:rsidRPr="001C0406" w:rsidDel="001628D8">
        <w:rPr>
          <w:rFonts w:eastAsia="Times New Roman" w:cs="Times New Roman"/>
        </w:rPr>
        <w:t>.</w:t>
      </w:r>
      <w:r w:rsidR="001628D8" w:rsidRPr="001C0406">
        <w:rPr>
          <w:rFonts w:eastAsia="Times New Roman" w:cs="Times New Roman"/>
        </w:rPr>
        <w:t xml:space="preserve"> </w:t>
      </w:r>
    </w:p>
    <w:p w14:paraId="7AC37F62" w14:textId="7D8B1411" w:rsidR="00A75959" w:rsidRPr="00B35965" w:rsidRDefault="00A75959" w:rsidP="00B35965">
      <w:pPr>
        <w:rPr>
          <w:b/>
        </w:rPr>
      </w:pPr>
    </w:p>
    <w:p w14:paraId="2AFB2336" w14:textId="12FC58AC" w:rsidR="0088406B" w:rsidRPr="00B35965" w:rsidRDefault="0088406B" w:rsidP="00B35965">
      <w:pPr>
        <w:rPr>
          <w:rFonts w:ascii="Franklin Gothic Demi" w:hAnsi="Franklin Gothic Demi"/>
          <w:color w:val="002060"/>
          <w:sz w:val="28"/>
        </w:rPr>
      </w:pPr>
      <w:r w:rsidRPr="00CF7B71">
        <w:rPr>
          <w:rFonts w:ascii="Franklin Gothic Demi" w:hAnsi="Franklin Gothic Demi"/>
          <w:color w:val="002060"/>
          <w:sz w:val="28"/>
        </w:rPr>
        <w:t>RULES</w:t>
      </w:r>
    </w:p>
    <w:p w14:paraId="7F8287B6" w14:textId="5E19C097" w:rsidR="0088406B" w:rsidRPr="00B35965" w:rsidRDefault="008660D0" w:rsidP="00B35965">
      <w:r w:rsidRPr="00B35965">
        <w:rPr>
          <w:rFonts w:ascii="Franklin Gothic Demi" w:hAnsi="Franklin Gothic Demi"/>
          <w:noProof/>
          <w:color w:val="002060"/>
          <w:sz w:val="28"/>
        </w:rPr>
        <mc:AlternateContent>
          <mc:Choice Requires="wps">
            <w:drawing>
              <wp:anchor distT="0" distB="0" distL="114300" distR="114300" simplePos="0" relativeHeight="251658752" behindDoc="0" locked="0" layoutInCell="1" allowOverlap="1" wp14:anchorId="6CDB718A" wp14:editId="6354AB59">
                <wp:simplePos x="0" y="0"/>
                <wp:positionH relativeFrom="column">
                  <wp:posOffset>0</wp:posOffset>
                </wp:positionH>
                <wp:positionV relativeFrom="paragraph">
                  <wp:posOffset>34925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A18B0" id="Straight Connector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" strokecolor="#002060">
                <v:stroke joinstyle="miter"/>
              </v:line>
            </w:pict>
          </mc:Fallback>
        </mc:AlternateContent>
      </w:r>
    </w:p>
    <w:p w14:paraId="7A0370E3" w14:textId="36481F95" w:rsidR="00C7472D" w:rsidRDefault="0027137C" w:rsidP="00B35965">
      <w:pPr>
        <w:rPr>
          <w:rFonts w:cs="Times New Roman"/>
        </w:rPr>
      </w:pPr>
      <w:r w:rsidRPr="0027137C">
        <w:rPr>
          <w:rFonts w:cs="Times New Roman"/>
        </w:rPr>
        <w:t>The insurer agrees to pay the policyholder</w:t>
      </w:r>
      <w:r w:rsidR="00986C18">
        <w:rPr>
          <w:rFonts w:cs="Times New Roman"/>
        </w:rPr>
        <w:t>s</w:t>
      </w:r>
      <w:r w:rsidRPr="0027137C">
        <w:rPr>
          <w:rFonts w:cs="Times New Roman"/>
        </w:rPr>
        <w:t xml:space="preserve"> for direct physical loss by or from flood to covered property, </w:t>
      </w:r>
      <w:bookmarkStart w:id="0" w:name="_Hlk63077877"/>
      <w:r w:rsidRPr="0027137C">
        <w:rPr>
          <w:rFonts w:cs="Times New Roman"/>
        </w:rPr>
        <w:t>provided the policyholder</w:t>
      </w:r>
      <w:r w:rsidR="00986C18">
        <w:rPr>
          <w:rFonts w:cs="Times New Roman"/>
        </w:rPr>
        <w:t>s</w:t>
      </w:r>
      <w:r w:rsidRPr="0027137C">
        <w:rPr>
          <w:rFonts w:cs="Times New Roman"/>
        </w:rPr>
        <w:t xml:space="preserve"> compl</w:t>
      </w:r>
      <w:r w:rsidR="00986C18">
        <w:rPr>
          <w:rFonts w:cs="Times New Roman"/>
        </w:rPr>
        <w:t xml:space="preserve">y </w:t>
      </w:r>
      <w:r w:rsidRPr="0027137C">
        <w:rPr>
          <w:rFonts w:cs="Times New Roman"/>
        </w:rPr>
        <w:t>with all terms and conditions of the SFIP</w:t>
      </w:r>
      <w:bookmarkEnd w:id="0"/>
      <w:r w:rsidR="009F3AD4">
        <w:rPr>
          <w:rFonts w:cs="Times New Roman"/>
        </w:rPr>
        <w:t>.</w:t>
      </w:r>
      <w:r w:rsidR="009F3AD4">
        <w:rPr>
          <w:rStyle w:val="FootnoteReference"/>
          <w:rFonts w:cs="Times New Roman"/>
        </w:rPr>
        <w:footnoteReference w:id="6"/>
      </w:r>
    </w:p>
    <w:p w14:paraId="4032A45B" w14:textId="77777777" w:rsidR="009F3AD4" w:rsidRPr="00B35965" w:rsidRDefault="009F3AD4" w:rsidP="00B35965">
      <w:pPr>
        <w:rPr>
          <w:rFonts w:eastAsia="Times New Roman" w:cs="Times New Roman"/>
          <w:b/>
          <w:bCs/>
          <w:smallCaps/>
          <w:highlight w:val="yellow"/>
          <w:u w:color="000000"/>
        </w:rPr>
      </w:pPr>
    </w:p>
    <w:p w14:paraId="594A777E" w14:textId="06C3981E" w:rsidR="00C7472D" w:rsidRDefault="00BB12B4" w:rsidP="00B35965">
      <w:pPr>
        <w:rPr>
          <w:rFonts w:eastAsia="Times New Roman" w:cs="Times New Roman"/>
        </w:rPr>
      </w:pPr>
      <w:r>
        <w:rPr>
          <w:rFonts w:eastAsia="Times New Roman" w:cs="Times New Roman"/>
        </w:rPr>
        <w:t xml:space="preserve">The SFIP </w:t>
      </w:r>
      <w:r w:rsidR="00AD5706">
        <w:rPr>
          <w:rFonts w:eastAsia="Times New Roman" w:cs="Times New Roman"/>
        </w:rPr>
        <w:t>defines a</w:t>
      </w:r>
      <w:r>
        <w:rPr>
          <w:rFonts w:eastAsia="Times New Roman" w:cs="Times New Roman"/>
        </w:rPr>
        <w:t xml:space="preserve"> </w:t>
      </w:r>
      <w:r w:rsidR="00A31FF8">
        <w:rPr>
          <w:rFonts w:eastAsia="Times New Roman" w:cs="Times New Roman"/>
        </w:rPr>
        <w:t>flood as a general and temporary condition of partial or complete inundation of two or more acres of normally dry land area or of two or more properties</w:t>
      </w:r>
      <w:r w:rsidR="00986C18">
        <w:rPr>
          <w:rFonts w:eastAsia="Times New Roman" w:cs="Times New Roman"/>
        </w:rPr>
        <w:t xml:space="preserve">, </w:t>
      </w:r>
      <w:r w:rsidR="00A31FF8">
        <w:rPr>
          <w:rFonts w:eastAsia="Times New Roman" w:cs="Times New Roman"/>
        </w:rPr>
        <w:t>one of which is the policyholders</w:t>
      </w:r>
      <w:r w:rsidR="007413CA">
        <w:rPr>
          <w:rFonts w:eastAsia="Times New Roman" w:cs="Times New Roman"/>
        </w:rPr>
        <w:t>,</w:t>
      </w:r>
      <w:r w:rsidR="00986C18">
        <w:rPr>
          <w:rFonts w:eastAsia="Times New Roman" w:cs="Times New Roman"/>
        </w:rPr>
        <w:t>’</w:t>
      </w:r>
      <w:r w:rsidR="00A31FF8">
        <w:rPr>
          <w:rFonts w:eastAsia="Times New Roman" w:cs="Times New Roman"/>
        </w:rPr>
        <w:t xml:space="preserve"> from overflow of inland or tidal waters, unusual and rapid accumulation or runoff of surface waters from any source, or mudflow.</w:t>
      </w:r>
      <w:r w:rsidR="00A31FF8">
        <w:rPr>
          <w:rStyle w:val="FootnoteReference"/>
          <w:rFonts w:eastAsia="Times New Roman" w:cs="Times New Roman"/>
        </w:rPr>
        <w:footnoteReference w:id="7"/>
      </w:r>
    </w:p>
    <w:p w14:paraId="257CD556" w14:textId="41111850" w:rsidR="00A31FF8" w:rsidRPr="001C0406" w:rsidRDefault="00A31FF8" w:rsidP="001C0406">
      <w:pPr>
        <w:pStyle w:val="Header"/>
        <w:tabs>
          <w:tab w:val="clear" w:pos="4680"/>
          <w:tab w:val="clear" w:pos="9360"/>
        </w:tabs>
        <w:spacing w:line="259" w:lineRule="auto"/>
        <w:rPr>
          <w:rFonts w:eastAsia="Times New Roman" w:cs="Times New Roman"/>
        </w:rPr>
      </w:pPr>
    </w:p>
    <w:p w14:paraId="47DE8742" w14:textId="280F8E40" w:rsidR="00A31FF8" w:rsidRDefault="00A31FF8" w:rsidP="00B35965">
      <w:pPr>
        <w:rPr>
          <w:rFonts w:eastAsia="Times New Roman" w:cs="Times New Roman"/>
        </w:rPr>
      </w:pPr>
      <w:r>
        <w:rPr>
          <w:rFonts w:eastAsia="Times New Roman" w:cs="Times New Roman"/>
        </w:rPr>
        <w:t>The SFIP does not cover fences, retaining walls, seawalls, bulkheads, wharves, piers bridges or docks.</w:t>
      </w:r>
      <w:r>
        <w:rPr>
          <w:rStyle w:val="FootnoteReference"/>
          <w:rFonts w:eastAsia="Times New Roman" w:cs="Times New Roman"/>
        </w:rPr>
        <w:footnoteReference w:id="8"/>
      </w:r>
    </w:p>
    <w:p w14:paraId="12C3D57F" w14:textId="77777777" w:rsidR="00A31FF8" w:rsidRPr="00B35965" w:rsidRDefault="00A31FF8" w:rsidP="00B35965">
      <w:pPr>
        <w:rPr>
          <w:rFonts w:eastAsia="Times New Roman" w:cs="Times New Roman"/>
        </w:rPr>
      </w:pPr>
    </w:p>
    <w:p w14:paraId="5DD628FC" w14:textId="1A8B4DD4" w:rsidR="009F3AD4" w:rsidRDefault="0027137C" w:rsidP="009F3AD4">
      <w:pPr>
        <w:rPr>
          <w:rFonts w:cs="Times New Roman"/>
        </w:rPr>
      </w:pPr>
      <w:r w:rsidRPr="0027137C">
        <w:rPr>
          <w:rFonts w:cs="Times New Roman"/>
        </w:rPr>
        <w:t xml:space="preserve">The SFIP does not insure loss to property caused directly by earth movement, even if earth movement is caused by flood. Examples of earth movement include land subsidence, sinkholes, </w:t>
      </w:r>
      <w:proofErr w:type="gramStart"/>
      <w:r w:rsidRPr="0027137C">
        <w:rPr>
          <w:rFonts w:cs="Times New Roman"/>
        </w:rPr>
        <w:t>destabilization</w:t>
      </w:r>
      <w:proofErr w:type="gramEnd"/>
      <w:r w:rsidRPr="0027137C">
        <w:rPr>
          <w:rFonts w:cs="Times New Roman"/>
        </w:rPr>
        <w:t xml:space="preserve"> or movement of land due to water accumulation, and gradual erosion</w:t>
      </w:r>
      <w:r w:rsidR="009F3AD4" w:rsidRPr="00412547">
        <w:rPr>
          <w:rFonts w:cs="Times New Roman"/>
        </w:rPr>
        <w:t>.</w:t>
      </w:r>
      <w:r w:rsidR="009F3AD4">
        <w:rPr>
          <w:rStyle w:val="FootnoteReference"/>
        </w:rPr>
        <w:footnoteReference w:id="9"/>
      </w:r>
    </w:p>
    <w:p w14:paraId="39679773" w14:textId="4B056C5B" w:rsidR="007413CA" w:rsidRDefault="007413CA" w:rsidP="009F3AD4">
      <w:pPr>
        <w:rPr>
          <w:rFonts w:cs="Times New Roman"/>
        </w:rPr>
      </w:pPr>
    </w:p>
    <w:p w14:paraId="233048E1" w14:textId="21BC72C1" w:rsidR="00676309" w:rsidRPr="00B35965" w:rsidRDefault="00676309" w:rsidP="00B35965">
      <w:pPr>
        <w:rPr>
          <w:rFonts w:ascii="Franklin Gothic Demi" w:hAnsi="Franklin Gothic Demi" w:cs="Times New Roman"/>
          <w:color w:val="002060"/>
          <w:sz w:val="28"/>
        </w:rPr>
      </w:pPr>
      <w:r w:rsidRPr="00B35965">
        <w:rPr>
          <w:rFonts w:ascii="Franklin Gothic Demi" w:hAnsi="Franklin Gothic Demi" w:cs="Times New Roman"/>
          <w:color w:val="002060"/>
          <w:sz w:val="28"/>
        </w:rPr>
        <w:t>ANALYSIS</w:t>
      </w:r>
    </w:p>
    <w:p w14:paraId="0E689AC9" w14:textId="20370E0A" w:rsidR="00676309" w:rsidRPr="00B35965" w:rsidRDefault="008660D0" w:rsidP="00B35965">
      <w:r w:rsidRPr="00B35965">
        <w:rPr>
          <w:rFonts w:ascii="Franklin Gothic Demi" w:hAnsi="Franklin Gothic Demi"/>
          <w:noProof/>
          <w:color w:val="002060"/>
          <w:sz w:val="28"/>
        </w:rPr>
        <mc:AlternateContent>
          <mc:Choice Requires="wps">
            <w:drawing>
              <wp:anchor distT="0" distB="0" distL="114300" distR="114300" simplePos="0" relativeHeight="251659776" behindDoc="0" locked="0" layoutInCell="1" allowOverlap="1" wp14:anchorId="6859EAA0" wp14:editId="709D2356">
                <wp:simplePos x="0" y="0"/>
                <wp:positionH relativeFrom="column">
                  <wp:posOffset>0</wp:posOffset>
                </wp:positionH>
                <wp:positionV relativeFrom="paragraph">
                  <wp:posOffset>39370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3B1BC"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" strokecolor="#002060">
                <v:stroke joinstyle="miter"/>
              </v:line>
            </w:pict>
          </mc:Fallback>
        </mc:AlternateContent>
      </w:r>
    </w:p>
    <w:p w14:paraId="011E9976" w14:textId="4D15DD2C" w:rsidR="00C7472D" w:rsidRDefault="00A31FF8" w:rsidP="00B35965">
      <w:pPr>
        <w:rPr>
          <w:rFonts w:eastAsia="Times New Roman" w:cs="Times New Roman"/>
          <w:bCs/>
          <w:u w:color="000000"/>
        </w:rPr>
      </w:pPr>
      <w:r>
        <w:rPr>
          <w:rFonts w:eastAsia="Times New Roman" w:cs="Times New Roman"/>
          <w:bCs/>
          <w:u w:color="000000"/>
        </w:rPr>
        <w:t>The policyholder</w:t>
      </w:r>
      <w:r w:rsidR="00986C18">
        <w:rPr>
          <w:rFonts w:eastAsia="Times New Roman" w:cs="Times New Roman"/>
          <w:bCs/>
          <w:u w:color="000000"/>
        </w:rPr>
        <w:t>s</w:t>
      </w:r>
      <w:r w:rsidRPr="00A31FF8">
        <w:rPr>
          <w:rFonts w:eastAsia="Times New Roman" w:cs="Times New Roman"/>
          <w:bCs/>
          <w:u w:color="000000"/>
        </w:rPr>
        <w:t xml:space="preserve"> appeal </w:t>
      </w:r>
      <w:r>
        <w:rPr>
          <w:rFonts w:eastAsia="Times New Roman" w:cs="Times New Roman"/>
          <w:bCs/>
          <w:u w:color="000000"/>
        </w:rPr>
        <w:t xml:space="preserve">the </w:t>
      </w:r>
      <w:r w:rsidR="00986C18">
        <w:rPr>
          <w:rFonts w:eastAsia="Times New Roman" w:cs="Times New Roman"/>
          <w:bCs/>
          <w:u w:color="000000"/>
        </w:rPr>
        <w:t xml:space="preserve">insurer’s </w:t>
      </w:r>
      <w:r w:rsidRPr="00A31FF8">
        <w:rPr>
          <w:rFonts w:eastAsia="Times New Roman" w:cs="Times New Roman"/>
          <w:bCs/>
          <w:u w:color="000000"/>
        </w:rPr>
        <w:t xml:space="preserve">denial </w:t>
      </w:r>
      <w:r w:rsidR="00986C18">
        <w:rPr>
          <w:rFonts w:eastAsia="Times New Roman" w:cs="Times New Roman"/>
          <w:bCs/>
          <w:u w:color="000000"/>
        </w:rPr>
        <w:t>of coverage</w:t>
      </w:r>
      <w:r w:rsidR="001C0406" w:rsidRPr="001C0406">
        <w:t xml:space="preserve"> </w:t>
      </w:r>
      <w:r w:rsidR="001C0406" w:rsidRPr="001C0406">
        <w:rPr>
          <w:rFonts w:eastAsia="Times New Roman" w:cs="Times New Roman"/>
          <w:bCs/>
          <w:u w:color="000000"/>
        </w:rPr>
        <w:t xml:space="preserve">for no general and temporary condition of flood, earth movement exclusion, and no direct physical loss by or from flood. </w:t>
      </w:r>
      <w:r w:rsidR="00986C18">
        <w:rPr>
          <w:rFonts w:eastAsia="Times New Roman" w:cs="Times New Roman"/>
          <w:bCs/>
          <w:u w:color="000000"/>
        </w:rPr>
        <w:t xml:space="preserve"> </w:t>
      </w:r>
    </w:p>
    <w:p w14:paraId="6BE94614" w14:textId="77777777" w:rsidR="00A31FF8" w:rsidRPr="00B35965" w:rsidRDefault="00A31FF8" w:rsidP="00B35965">
      <w:pPr>
        <w:rPr>
          <w:rFonts w:eastAsia="Times New Roman" w:cs="Times New Roman"/>
          <w:b/>
          <w:bCs/>
          <w:smallCaps/>
          <w:highlight w:val="yellow"/>
          <w:u w:color="000000"/>
        </w:rPr>
      </w:pPr>
    </w:p>
    <w:p w14:paraId="728F5AE6" w14:textId="27F35FB3" w:rsidR="006A39C6" w:rsidRDefault="009F3AD4" w:rsidP="00B35965">
      <w:pPr>
        <w:rPr>
          <w:rFonts w:cs="Times New Roman"/>
        </w:rPr>
      </w:pPr>
      <w:r w:rsidRPr="00412547">
        <w:rPr>
          <w:rFonts w:cs="Times New Roman"/>
        </w:rPr>
        <w:t xml:space="preserve">The </w:t>
      </w:r>
      <w:r w:rsidR="00E405C6">
        <w:rPr>
          <w:rFonts w:cs="Times New Roman"/>
        </w:rPr>
        <w:t xml:space="preserve">insurer </w:t>
      </w:r>
      <w:r w:rsidR="00BD3F79" w:rsidRPr="00BD3F79">
        <w:rPr>
          <w:rFonts w:cs="Times New Roman"/>
        </w:rPr>
        <w:t xml:space="preserve">agrees to pay the policyholder for direct physical loss by or from flood. </w:t>
      </w:r>
      <w:r w:rsidR="006A39C6" w:rsidRPr="006A39C6">
        <w:rPr>
          <w:rFonts w:cs="Times New Roman"/>
        </w:rPr>
        <w:t>A flood is a general and temporary condition of partial or complete inundation of two or more properties</w:t>
      </w:r>
      <w:r w:rsidR="00BD3F79">
        <w:rPr>
          <w:rFonts w:cs="Times New Roman"/>
        </w:rPr>
        <w:t xml:space="preserve">, </w:t>
      </w:r>
      <w:r w:rsidR="006A39C6" w:rsidRPr="006A39C6">
        <w:rPr>
          <w:rFonts w:cs="Times New Roman"/>
        </w:rPr>
        <w:t>one of which is the policyholders</w:t>
      </w:r>
      <w:r w:rsidR="007413CA">
        <w:rPr>
          <w:rFonts w:cs="Times New Roman"/>
        </w:rPr>
        <w:t>,</w:t>
      </w:r>
      <w:r w:rsidR="00BD3F79">
        <w:rPr>
          <w:rFonts w:cs="Times New Roman"/>
        </w:rPr>
        <w:t>’</w:t>
      </w:r>
      <w:r w:rsidR="006A39C6" w:rsidRPr="006A39C6">
        <w:rPr>
          <w:rFonts w:cs="Times New Roman"/>
        </w:rPr>
        <w:t xml:space="preserve"> from unusual and rapid accumulation or runoff of surface waters from any source or mudflow. </w:t>
      </w:r>
      <w:r w:rsidR="007413CA">
        <w:rPr>
          <w:rFonts w:cs="Times New Roman"/>
        </w:rPr>
        <w:t>Here, t</w:t>
      </w:r>
      <w:r w:rsidR="006A39C6" w:rsidRPr="006A39C6">
        <w:rPr>
          <w:rFonts w:cs="Times New Roman"/>
        </w:rPr>
        <w:t xml:space="preserve">he adjuster </w:t>
      </w:r>
      <w:r w:rsidR="007413CA">
        <w:rPr>
          <w:rFonts w:cs="Times New Roman"/>
        </w:rPr>
        <w:t xml:space="preserve">determined no general and temporary condition of flooding existed on the claimed date of loss, as the </w:t>
      </w:r>
      <w:r w:rsidR="008C0D8E">
        <w:rPr>
          <w:rFonts w:cs="Times New Roman"/>
        </w:rPr>
        <w:t xml:space="preserve">adjuster canvassed the neighborhood and found no evidence of flooding or debris. The adjuster found no </w:t>
      </w:r>
      <w:r w:rsidR="006A39C6" w:rsidRPr="006A39C6">
        <w:rPr>
          <w:rFonts w:cs="Times New Roman"/>
        </w:rPr>
        <w:t>interior or exterior water</w:t>
      </w:r>
      <w:r w:rsidR="008C0D8E">
        <w:rPr>
          <w:rFonts w:cs="Times New Roman"/>
        </w:rPr>
        <w:t xml:space="preserve">lines to the building and </w:t>
      </w:r>
      <w:r w:rsidR="006A39C6" w:rsidRPr="006A39C6">
        <w:rPr>
          <w:rFonts w:cs="Times New Roman"/>
        </w:rPr>
        <w:t xml:space="preserve">no damages to the main building. </w:t>
      </w:r>
      <w:r w:rsidR="008C0D8E">
        <w:rPr>
          <w:rFonts w:cs="Times New Roman"/>
        </w:rPr>
        <w:t xml:space="preserve">FEMA’s review </w:t>
      </w:r>
      <w:r w:rsidR="00FB00B9">
        <w:rPr>
          <w:rFonts w:cs="Times New Roman"/>
        </w:rPr>
        <w:t xml:space="preserve">of the National Flood Insurance Program claims database </w:t>
      </w:r>
      <w:r w:rsidR="008C0D8E">
        <w:rPr>
          <w:rFonts w:cs="Times New Roman"/>
        </w:rPr>
        <w:t xml:space="preserve">found </w:t>
      </w:r>
      <w:r w:rsidR="004D53A5">
        <w:rPr>
          <w:rFonts w:cs="Times New Roman"/>
        </w:rPr>
        <w:t xml:space="preserve">there were </w:t>
      </w:r>
      <w:r w:rsidR="008C0D8E">
        <w:rPr>
          <w:rFonts w:cs="Times New Roman"/>
        </w:rPr>
        <w:t xml:space="preserve">no </w:t>
      </w:r>
      <w:r w:rsidR="00FB00B9">
        <w:rPr>
          <w:rFonts w:cs="Times New Roman"/>
        </w:rPr>
        <w:t xml:space="preserve">flood </w:t>
      </w:r>
      <w:r w:rsidR="006A39C6" w:rsidRPr="006A39C6">
        <w:rPr>
          <w:rFonts w:cs="Times New Roman"/>
        </w:rPr>
        <w:t xml:space="preserve">claims </w:t>
      </w:r>
      <w:r w:rsidR="00FB00B9">
        <w:rPr>
          <w:rFonts w:cs="Times New Roman"/>
        </w:rPr>
        <w:t>in the policyholders’ surrounding area</w:t>
      </w:r>
      <w:r w:rsidR="006A39C6" w:rsidRPr="006A39C6">
        <w:rPr>
          <w:rFonts w:cs="Times New Roman"/>
        </w:rPr>
        <w:t xml:space="preserve"> since 2018.</w:t>
      </w:r>
      <w:r w:rsidR="00A31FF8">
        <w:rPr>
          <w:rFonts w:cs="Times New Roman"/>
        </w:rPr>
        <w:t xml:space="preserve"> </w:t>
      </w:r>
      <w:r w:rsidR="004D53A5">
        <w:rPr>
          <w:rFonts w:cs="Times New Roman"/>
        </w:rPr>
        <w:t xml:space="preserve">Accordingly, FEMA’s review finds the insurer properly denied coverage for no general and temporary condition of flood. </w:t>
      </w:r>
    </w:p>
    <w:p w14:paraId="75932353" w14:textId="77777777" w:rsidR="006A39C6" w:rsidRDefault="006A39C6" w:rsidP="00B35965">
      <w:pPr>
        <w:rPr>
          <w:rFonts w:cs="Times New Roman"/>
        </w:rPr>
      </w:pPr>
    </w:p>
    <w:p w14:paraId="50F3D1D1" w14:textId="3AD957D9" w:rsidR="00570362" w:rsidRDefault="004D53A5" w:rsidP="00B35965">
      <w:pPr>
        <w:rPr>
          <w:rFonts w:cs="Times New Roman"/>
        </w:rPr>
      </w:pPr>
      <w:r w:rsidRPr="004D53A5">
        <w:rPr>
          <w:rFonts w:cs="Times New Roman"/>
        </w:rPr>
        <w:t xml:space="preserve">The SFIP excludes earth movement, even if earth movement is directly caused by flood. </w:t>
      </w:r>
      <w:r w:rsidR="00282145" w:rsidRPr="00282145">
        <w:rPr>
          <w:rFonts w:cs="Times New Roman"/>
        </w:rPr>
        <w:t xml:space="preserve">Most soils that become saturated tend to lose bearing capacity, which is the soil’s ability to maintain a load or stabilize weight. </w:t>
      </w:r>
      <w:r>
        <w:rPr>
          <w:rFonts w:cs="Times New Roman"/>
        </w:rPr>
        <w:t xml:space="preserve">Here, </w:t>
      </w:r>
      <w:r w:rsidR="003D042E">
        <w:rPr>
          <w:rFonts w:cs="Times New Roman"/>
        </w:rPr>
        <w:t>t</w:t>
      </w:r>
      <w:r w:rsidR="00A31FF8">
        <w:rPr>
          <w:rFonts w:cs="Times New Roman"/>
        </w:rPr>
        <w:t>he policyholder</w:t>
      </w:r>
      <w:r>
        <w:rPr>
          <w:rFonts w:cs="Times New Roman"/>
        </w:rPr>
        <w:t>s</w:t>
      </w:r>
      <w:r w:rsidR="00A31FF8">
        <w:rPr>
          <w:rFonts w:cs="Times New Roman"/>
        </w:rPr>
        <w:t xml:space="preserve"> </w:t>
      </w:r>
      <w:r>
        <w:rPr>
          <w:rFonts w:cs="Times New Roman"/>
        </w:rPr>
        <w:t xml:space="preserve">contend </w:t>
      </w:r>
      <w:r w:rsidR="00A31FF8">
        <w:rPr>
          <w:rFonts w:cs="Times New Roman"/>
        </w:rPr>
        <w:t xml:space="preserve">erosion from </w:t>
      </w:r>
      <w:r w:rsidR="005E2B07">
        <w:rPr>
          <w:rFonts w:cs="Times New Roman"/>
        </w:rPr>
        <w:t xml:space="preserve">an early 2020 flood event </w:t>
      </w:r>
      <w:r w:rsidR="00A31FF8">
        <w:rPr>
          <w:rFonts w:cs="Times New Roman"/>
        </w:rPr>
        <w:t xml:space="preserve">led to the structural cracking and foundation damage to </w:t>
      </w:r>
      <w:r w:rsidR="00E405C6">
        <w:rPr>
          <w:rFonts w:cs="Times New Roman"/>
        </w:rPr>
        <w:t>the</w:t>
      </w:r>
      <w:r>
        <w:rPr>
          <w:rFonts w:cs="Times New Roman"/>
        </w:rPr>
        <w:t>ir</w:t>
      </w:r>
      <w:r w:rsidR="00E405C6">
        <w:rPr>
          <w:rFonts w:cs="Times New Roman"/>
        </w:rPr>
        <w:t xml:space="preserve"> </w:t>
      </w:r>
      <w:r w:rsidR="00A31FF8">
        <w:rPr>
          <w:rFonts w:cs="Times New Roman"/>
        </w:rPr>
        <w:t>retaining wall</w:t>
      </w:r>
      <w:r w:rsidR="002E71B1">
        <w:rPr>
          <w:rFonts w:cs="Times New Roman"/>
        </w:rPr>
        <w:t>.</w:t>
      </w:r>
      <w:r w:rsidR="00A31FF8">
        <w:rPr>
          <w:rFonts w:cs="Times New Roman"/>
        </w:rPr>
        <w:t xml:space="preserve"> </w:t>
      </w:r>
      <w:r>
        <w:rPr>
          <w:rFonts w:cs="Times New Roman"/>
        </w:rPr>
        <w:t xml:space="preserve">The </w:t>
      </w:r>
      <w:r w:rsidR="008B74CE" w:rsidRPr="008B74CE">
        <w:rPr>
          <w:rFonts w:cs="Times New Roman"/>
        </w:rPr>
        <w:t>policyholders</w:t>
      </w:r>
      <w:r>
        <w:rPr>
          <w:rFonts w:cs="Times New Roman"/>
        </w:rPr>
        <w:t>’</w:t>
      </w:r>
      <w:r w:rsidR="008B74CE" w:rsidRPr="008B74CE">
        <w:rPr>
          <w:rFonts w:cs="Times New Roman"/>
        </w:rPr>
        <w:t xml:space="preserve"> engineer </w:t>
      </w:r>
      <w:r>
        <w:rPr>
          <w:rFonts w:cs="Times New Roman"/>
        </w:rPr>
        <w:t xml:space="preserve">inspected their </w:t>
      </w:r>
      <w:r w:rsidR="008B74CE" w:rsidRPr="008B74CE">
        <w:rPr>
          <w:rFonts w:cs="Times New Roman"/>
        </w:rPr>
        <w:t xml:space="preserve">property </w:t>
      </w:r>
      <w:r w:rsidR="00127451">
        <w:rPr>
          <w:rFonts w:cs="Times New Roman"/>
        </w:rPr>
        <w:t>in April</w:t>
      </w:r>
      <w:r w:rsidR="008B74CE" w:rsidRPr="008B74CE">
        <w:rPr>
          <w:rFonts w:cs="Times New Roman"/>
        </w:rPr>
        <w:t xml:space="preserve"> 2020, which is before the reported date of loss.</w:t>
      </w:r>
      <w:r w:rsidR="00995326">
        <w:rPr>
          <w:rStyle w:val="FootnoteReference"/>
          <w:rFonts w:cs="Times New Roman"/>
        </w:rPr>
        <w:footnoteReference w:id="10"/>
      </w:r>
      <w:r w:rsidR="008B74CE" w:rsidRPr="008B74CE">
        <w:rPr>
          <w:rFonts w:cs="Times New Roman"/>
        </w:rPr>
        <w:t xml:space="preserve"> </w:t>
      </w:r>
      <w:r w:rsidR="00B733F8">
        <w:rPr>
          <w:rFonts w:cs="Times New Roman"/>
        </w:rPr>
        <w:t xml:space="preserve">The </w:t>
      </w:r>
      <w:r w:rsidR="00BC757E">
        <w:rPr>
          <w:rFonts w:cs="Times New Roman"/>
        </w:rPr>
        <w:t>policyholder</w:t>
      </w:r>
      <w:r w:rsidR="008034B0">
        <w:rPr>
          <w:rFonts w:cs="Times New Roman"/>
        </w:rPr>
        <w:t>s</w:t>
      </w:r>
      <w:r>
        <w:rPr>
          <w:rFonts w:cs="Times New Roman"/>
        </w:rPr>
        <w:t>’</w:t>
      </w:r>
      <w:r w:rsidR="008034B0">
        <w:rPr>
          <w:rFonts w:cs="Times New Roman"/>
        </w:rPr>
        <w:t xml:space="preserve"> </w:t>
      </w:r>
      <w:r w:rsidR="00B733F8">
        <w:rPr>
          <w:rFonts w:cs="Times New Roman"/>
        </w:rPr>
        <w:t xml:space="preserve">engineer </w:t>
      </w:r>
      <w:r>
        <w:rPr>
          <w:rFonts w:cs="Times New Roman"/>
        </w:rPr>
        <w:t>determined</w:t>
      </w:r>
      <w:r w:rsidR="000D216D">
        <w:rPr>
          <w:rFonts w:cs="Times New Roman"/>
        </w:rPr>
        <w:t xml:space="preserve"> a large tree </w:t>
      </w:r>
      <w:r>
        <w:rPr>
          <w:rFonts w:cs="Times New Roman"/>
        </w:rPr>
        <w:t>limb</w:t>
      </w:r>
      <w:r w:rsidR="000D216D">
        <w:rPr>
          <w:rFonts w:cs="Times New Roman"/>
        </w:rPr>
        <w:t xml:space="preserve"> </w:t>
      </w:r>
      <w:r>
        <w:rPr>
          <w:rFonts w:cs="Times New Roman"/>
        </w:rPr>
        <w:t>fell</w:t>
      </w:r>
      <w:r w:rsidR="000D216D">
        <w:rPr>
          <w:rFonts w:cs="Times New Roman"/>
        </w:rPr>
        <w:t xml:space="preserve"> on the membrane</w:t>
      </w:r>
      <w:r w:rsidR="009E6DA1">
        <w:rPr>
          <w:rFonts w:cs="Times New Roman"/>
        </w:rPr>
        <w:t xml:space="preserve">, </w:t>
      </w:r>
      <w:r>
        <w:rPr>
          <w:rFonts w:cs="Times New Roman"/>
        </w:rPr>
        <w:t xml:space="preserve">causing damage to the </w:t>
      </w:r>
      <w:r w:rsidR="005B4EE7">
        <w:rPr>
          <w:rFonts w:cs="Times New Roman"/>
        </w:rPr>
        <w:t>membrane</w:t>
      </w:r>
      <w:r>
        <w:rPr>
          <w:rFonts w:cs="Times New Roman"/>
        </w:rPr>
        <w:t xml:space="preserve"> </w:t>
      </w:r>
      <w:r w:rsidR="009E6DA1">
        <w:rPr>
          <w:rFonts w:cs="Times New Roman"/>
        </w:rPr>
        <w:t>which</w:t>
      </w:r>
      <w:r>
        <w:rPr>
          <w:rFonts w:cs="Times New Roman"/>
        </w:rPr>
        <w:t xml:space="preserve"> served </w:t>
      </w:r>
      <w:r w:rsidRPr="004D53A5">
        <w:rPr>
          <w:rFonts w:cs="Times New Roman"/>
        </w:rPr>
        <w:t>to reduce surface water inflow</w:t>
      </w:r>
      <w:r>
        <w:rPr>
          <w:rFonts w:cs="Times New Roman"/>
        </w:rPr>
        <w:t>. FEMA</w:t>
      </w:r>
      <w:r w:rsidR="00282145">
        <w:rPr>
          <w:rFonts w:cs="Times New Roman"/>
        </w:rPr>
        <w:t xml:space="preserve">’s review notes the damaged membrane </w:t>
      </w:r>
      <w:r w:rsidR="009E6DA1">
        <w:rPr>
          <w:rFonts w:cs="Times New Roman"/>
        </w:rPr>
        <w:t>is not a direct physical loss cause</w:t>
      </w:r>
      <w:r w:rsidR="003D042E">
        <w:rPr>
          <w:rFonts w:cs="Times New Roman"/>
        </w:rPr>
        <w:t>d</w:t>
      </w:r>
      <w:r w:rsidR="009E6DA1">
        <w:rPr>
          <w:rFonts w:cs="Times New Roman"/>
        </w:rPr>
        <w:t xml:space="preserve"> by or from a flood</w:t>
      </w:r>
      <w:r w:rsidR="00282145">
        <w:rPr>
          <w:rFonts w:cs="Times New Roman"/>
        </w:rPr>
        <w:t xml:space="preserve"> and pre-dated the claimed flood event</w:t>
      </w:r>
      <w:r w:rsidR="006A39C6" w:rsidRPr="006A39C6">
        <w:rPr>
          <w:rFonts w:cs="Times New Roman"/>
        </w:rPr>
        <w:t>.</w:t>
      </w:r>
      <w:r w:rsidR="009E6DA1">
        <w:rPr>
          <w:rFonts w:cs="Times New Roman"/>
        </w:rPr>
        <w:t xml:space="preserve"> </w:t>
      </w:r>
      <w:r w:rsidR="00D07979">
        <w:rPr>
          <w:rFonts w:cs="Times New Roman"/>
        </w:rPr>
        <w:t xml:space="preserve">The </w:t>
      </w:r>
      <w:r w:rsidR="008B74CE">
        <w:rPr>
          <w:rFonts w:cs="Times New Roman"/>
        </w:rPr>
        <w:t xml:space="preserve">engineer </w:t>
      </w:r>
      <w:r w:rsidR="00D07979">
        <w:rPr>
          <w:rFonts w:cs="Times New Roman"/>
        </w:rPr>
        <w:t>also</w:t>
      </w:r>
      <w:r w:rsidR="008B74CE">
        <w:rPr>
          <w:rFonts w:cs="Times New Roman"/>
        </w:rPr>
        <w:t xml:space="preserve"> </w:t>
      </w:r>
      <w:r w:rsidR="00282145">
        <w:rPr>
          <w:rFonts w:cs="Times New Roman"/>
        </w:rPr>
        <w:t>concluded</w:t>
      </w:r>
      <w:r w:rsidR="008B74CE">
        <w:rPr>
          <w:rFonts w:cs="Times New Roman"/>
        </w:rPr>
        <w:t xml:space="preserve"> t</w:t>
      </w:r>
      <w:r w:rsidR="00D07979">
        <w:rPr>
          <w:rFonts w:cs="Times New Roman"/>
        </w:rPr>
        <w:t xml:space="preserve">he </w:t>
      </w:r>
      <w:r w:rsidR="00BC757E">
        <w:rPr>
          <w:rFonts w:cs="Times New Roman"/>
        </w:rPr>
        <w:t xml:space="preserve">impact of </w:t>
      </w:r>
      <w:r w:rsidR="00750D36">
        <w:rPr>
          <w:rFonts w:cs="Times New Roman"/>
        </w:rPr>
        <w:t>land sliding</w:t>
      </w:r>
      <w:r w:rsidR="00BC757E">
        <w:rPr>
          <w:rFonts w:cs="Times New Roman"/>
        </w:rPr>
        <w:t xml:space="preserve"> in early 2020</w:t>
      </w:r>
      <w:r w:rsidR="00AA7C16">
        <w:rPr>
          <w:rFonts w:cs="Times New Roman"/>
        </w:rPr>
        <w:t xml:space="preserve"> compromised the </w:t>
      </w:r>
      <w:r w:rsidR="009E6DA1">
        <w:rPr>
          <w:rFonts w:cs="Times New Roman"/>
        </w:rPr>
        <w:t>s</w:t>
      </w:r>
      <w:r w:rsidR="00AA7C16">
        <w:rPr>
          <w:rFonts w:cs="Times New Roman"/>
        </w:rPr>
        <w:t>oil</w:t>
      </w:r>
      <w:r w:rsidR="008B74CE">
        <w:rPr>
          <w:rFonts w:cs="Times New Roman"/>
        </w:rPr>
        <w:t>’s strength</w:t>
      </w:r>
      <w:r w:rsidR="00AA7C16">
        <w:rPr>
          <w:rFonts w:cs="Times New Roman"/>
        </w:rPr>
        <w:t>.</w:t>
      </w:r>
      <w:r w:rsidR="00B733F8">
        <w:rPr>
          <w:rFonts w:cs="Times New Roman"/>
        </w:rPr>
        <w:t xml:space="preserve"> </w:t>
      </w:r>
      <w:r w:rsidR="008B74CE">
        <w:rPr>
          <w:rFonts w:cs="Times New Roman"/>
        </w:rPr>
        <w:t xml:space="preserve">However, the </w:t>
      </w:r>
      <w:r w:rsidR="006A39C6">
        <w:rPr>
          <w:rFonts w:cs="Times New Roman"/>
        </w:rPr>
        <w:t xml:space="preserve">engineer </w:t>
      </w:r>
      <w:r w:rsidR="003D042E">
        <w:rPr>
          <w:rFonts w:cs="Times New Roman"/>
        </w:rPr>
        <w:t>provide</w:t>
      </w:r>
      <w:r w:rsidR="00282145">
        <w:rPr>
          <w:rFonts w:cs="Times New Roman"/>
        </w:rPr>
        <w:t>d no</w:t>
      </w:r>
      <w:r w:rsidR="003D042E">
        <w:rPr>
          <w:rFonts w:cs="Times New Roman"/>
        </w:rPr>
        <w:t xml:space="preserve"> evidence </w:t>
      </w:r>
      <w:r w:rsidR="00282145">
        <w:rPr>
          <w:rFonts w:cs="Times New Roman"/>
        </w:rPr>
        <w:t xml:space="preserve">showing the damage caused by land sliding was caused by </w:t>
      </w:r>
      <w:r w:rsidR="00D07979">
        <w:rPr>
          <w:rFonts w:cs="Times New Roman"/>
        </w:rPr>
        <w:t xml:space="preserve">the claimed </w:t>
      </w:r>
      <w:r w:rsidR="003D042E">
        <w:rPr>
          <w:rFonts w:cs="Times New Roman"/>
        </w:rPr>
        <w:t xml:space="preserve">flood </w:t>
      </w:r>
      <w:r w:rsidR="00D07979">
        <w:rPr>
          <w:rFonts w:cs="Times New Roman"/>
        </w:rPr>
        <w:t>event</w:t>
      </w:r>
      <w:r w:rsidR="006A39C6">
        <w:rPr>
          <w:rFonts w:cs="Times New Roman"/>
        </w:rPr>
        <w:t>.</w:t>
      </w:r>
    </w:p>
    <w:p w14:paraId="3CD584EF" w14:textId="6659996B" w:rsidR="00A31FF8" w:rsidRDefault="00A31FF8" w:rsidP="00B35965">
      <w:pPr>
        <w:rPr>
          <w:rFonts w:cs="Times New Roman"/>
        </w:rPr>
      </w:pPr>
    </w:p>
    <w:p w14:paraId="75AD56AC" w14:textId="21625755" w:rsidR="00D66987" w:rsidRDefault="00282145" w:rsidP="000C70AD">
      <w:pPr>
        <w:rPr>
          <w:rFonts w:cs="Times New Roman"/>
        </w:rPr>
      </w:pPr>
      <w:r>
        <w:rPr>
          <w:rFonts w:cs="Times New Roman"/>
        </w:rPr>
        <w:t>T</w:t>
      </w:r>
      <w:r w:rsidR="000C181A">
        <w:rPr>
          <w:rFonts w:cs="Times New Roman"/>
        </w:rPr>
        <w:t xml:space="preserve">he insurer’s engineer </w:t>
      </w:r>
      <w:r w:rsidR="001C0406">
        <w:rPr>
          <w:rFonts w:cs="Times New Roman"/>
        </w:rPr>
        <w:t xml:space="preserve">inspected the property and </w:t>
      </w:r>
      <w:r>
        <w:rPr>
          <w:rFonts w:cs="Times New Roman"/>
        </w:rPr>
        <w:t xml:space="preserve">concluded </w:t>
      </w:r>
      <w:r w:rsidR="000C181A">
        <w:rPr>
          <w:rFonts w:cs="Times New Roman"/>
        </w:rPr>
        <w:t xml:space="preserve">there was evidence of gradual and ongoing erosion. The </w:t>
      </w:r>
      <w:r w:rsidR="001C0406">
        <w:rPr>
          <w:rFonts w:cs="Times New Roman"/>
        </w:rPr>
        <w:t xml:space="preserve">insurer’s </w:t>
      </w:r>
      <w:r w:rsidR="000C181A">
        <w:rPr>
          <w:rFonts w:cs="Times New Roman"/>
        </w:rPr>
        <w:t xml:space="preserve">engineer also found no evidence of structural or foundation damage resulting from the claimed </w:t>
      </w:r>
      <w:r>
        <w:rPr>
          <w:rFonts w:cs="Times New Roman"/>
        </w:rPr>
        <w:t>flood</w:t>
      </w:r>
      <w:r w:rsidR="000C181A">
        <w:rPr>
          <w:rFonts w:cs="Times New Roman"/>
        </w:rPr>
        <w:t xml:space="preserve"> event. </w:t>
      </w:r>
      <w:r>
        <w:rPr>
          <w:rFonts w:cs="Times New Roman"/>
        </w:rPr>
        <w:t>T</w:t>
      </w:r>
      <w:r w:rsidR="000C181A">
        <w:rPr>
          <w:rFonts w:cs="Times New Roman"/>
        </w:rPr>
        <w:t xml:space="preserve">he </w:t>
      </w:r>
      <w:r w:rsidR="001C0406">
        <w:rPr>
          <w:rFonts w:cs="Times New Roman"/>
        </w:rPr>
        <w:t xml:space="preserve">insurer’s </w:t>
      </w:r>
      <w:r w:rsidR="000C181A">
        <w:rPr>
          <w:rFonts w:cs="Times New Roman"/>
        </w:rPr>
        <w:t xml:space="preserve">engineer </w:t>
      </w:r>
      <w:r>
        <w:rPr>
          <w:rFonts w:cs="Times New Roman"/>
        </w:rPr>
        <w:t>found</w:t>
      </w:r>
      <w:r w:rsidR="000C181A">
        <w:rPr>
          <w:rFonts w:cs="Times New Roman"/>
        </w:rPr>
        <w:t xml:space="preserve"> no general </w:t>
      </w:r>
      <w:r>
        <w:rPr>
          <w:rFonts w:cs="Times New Roman"/>
        </w:rPr>
        <w:t xml:space="preserve">and temporary </w:t>
      </w:r>
      <w:r w:rsidR="000C181A">
        <w:rPr>
          <w:rFonts w:cs="Times New Roman"/>
        </w:rPr>
        <w:t>condition of flood</w:t>
      </w:r>
      <w:r>
        <w:rPr>
          <w:rFonts w:cs="Times New Roman"/>
        </w:rPr>
        <w:t xml:space="preserve"> existed on the claimed date of loss</w:t>
      </w:r>
      <w:r w:rsidR="000C181A">
        <w:rPr>
          <w:rFonts w:cs="Times New Roman"/>
        </w:rPr>
        <w:t xml:space="preserve">. </w:t>
      </w:r>
      <w:r>
        <w:rPr>
          <w:rFonts w:cs="Times New Roman"/>
        </w:rPr>
        <w:t>T</w:t>
      </w:r>
      <w:r w:rsidR="000C181A">
        <w:rPr>
          <w:rFonts w:cs="Times New Roman"/>
        </w:rPr>
        <w:t xml:space="preserve">he insurer’s engineer </w:t>
      </w:r>
      <w:r w:rsidR="00B67A21">
        <w:rPr>
          <w:rFonts w:cs="Times New Roman"/>
        </w:rPr>
        <w:t>reviewed</w:t>
      </w:r>
      <w:r w:rsidR="006E522E">
        <w:rPr>
          <w:rFonts w:cs="Times New Roman"/>
        </w:rPr>
        <w:t xml:space="preserve"> </w:t>
      </w:r>
      <w:r>
        <w:rPr>
          <w:rFonts w:cs="Times New Roman"/>
        </w:rPr>
        <w:t xml:space="preserve">the </w:t>
      </w:r>
      <w:r w:rsidR="000C181A">
        <w:rPr>
          <w:rFonts w:cs="Times New Roman"/>
        </w:rPr>
        <w:t>policyholders</w:t>
      </w:r>
      <w:r>
        <w:rPr>
          <w:rFonts w:cs="Times New Roman"/>
        </w:rPr>
        <w:t>’</w:t>
      </w:r>
      <w:r w:rsidR="000C181A">
        <w:rPr>
          <w:rFonts w:cs="Times New Roman"/>
        </w:rPr>
        <w:t xml:space="preserve"> engineering report, damage assessment, </w:t>
      </w:r>
      <w:r w:rsidR="006E522E">
        <w:rPr>
          <w:rFonts w:cs="Times New Roman"/>
        </w:rPr>
        <w:t>contractor</w:t>
      </w:r>
      <w:r w:rsidR="00B67A21">
        <w:rPr>
          <w:rFonts w:cs="Times New Roman"/>
        </w:rPr>
        <w:t>’</w:t>
      </w:r>
      <w:r w:rsidR="006E522E">
        <w:rPr>
          <w:rFonts w:cs="Times New Roman"/>
        </w:rPr>
        <w:t>s</w:t>
      </w:r>
      <w:r w:rsidR="000C181A">
        <w:rPr>
          <w:rFonts w:cs="Times New Roman"/>
        </w:rPr>
        <w:t xml:space="preserve"> proposal</w:t>
      </w:r>
      <w:r w:rsidR="00B67A21">
        <w:rPr>
          <w:rFonts w:cs="Times New Roman"/>
        </w:rPr>
        <w:t xml:space="preserve">, and </w:t>
      </w:r>
      <w:r w:rsidR="000C181A">
        <w:rPr>
          <w:rFonts w:cs="Times New Roman"/>
        </w:rPr>
        <w:t>pre</w:t>
      </w:r>
      <w:r w:rsidR="00B67A21">
        <w:rPr>
          <w:rFonts w:cs="Times New Roman"/>
        </w:rPr>
        <w:t xml:space="preserve">pared </w:t>
      </w:r>
      <w:r w:rsidR="000C181A">
        <w:rPr>
          <w:rFonts w:cs="Times New Roman"/>
        </w:rPr>
        <w:t xml:space="preserve">an addendum. </w:t>
      </w:r>
      <w:r>
        <w:rPr>
          <w:rFonts w:cs="Times New Roman"/>
        </w:rPr>
        <w:t>In the addendum report, t</w:t>
      </w:r>
      <w:r w:rsidR="000C181A">
        <w:rPr>
          <w:rFonts w:cs="Times New Roman"/>
        </w:rPr>
        <w:t xml:space="preserve">he </w:t>
      </w:r>
      <w:r w:rsidR="001C0406">
        <w:rPr>
          <w:rFonts w:cs="Times New Roman"/>
        </w:rPr>
        <w:t xml:space="preserve">insurer’s </w:t>
      </w:r>
      <w:r w:rsidR="000C181A">
        <w:rPr>
          <w:rFonts w:cs="Times New Roman"/>
        </w:rPr>
        <w:t>engineer re-affirmed</w:t>
      </w:r>
      <w:r w:rsidR="00B67A21">
        <w:rPr>
          <w:rFonts w:cs="Times New Roman"/>
        </w:rPr>
        <w:t xml:space="preserve"> </w:t>
      </w:r>
      <w:r>
        <w:rPr>
          <w:rFonts w:cs="Times New Roman"/>
        </w:rPr>
        <w:t xml:space="preserve">his </w:t>
      </w:r>
      <w:r w:rsidR="000C181A">
        <w:rPr>
          <w:rFonts w:cs="Times New Roman"/>
        </w:rPr>
        <w:t>initial conclusion that soil erosion</w:t>
      </w:r>
      <w:r w:rsidR="00D513F9">
        <w:rPr>
          <w:rFonts w:cs="Times New Roman"/>
        </w:rPr>
        <w:t xml:space="preserve"> or </w:t>
      </w:r>
      <w:r w:rsidR="000C181A">
        <w:rPr>
          <w:rFonts w:cs="Times New Roman"/>
        </w:rPr>
        <w:t xml:space="preserve">slope failure was not the result of a singular flood event. </w:t>
      </w:r>
      <w:r w:rsidR="001C0406">
        <w:rPr>
          <w:rFonts w:cs="Times New Roman"/>
        </w:rPr>
        <w:t>T</w:t>
      </w:r>
      <w:r>
        <w:rPr>
          <w:rFonts w:cs="Times New Roman"/>
        </w:rPr>
        <w:t xml:space="preserve">he </w:t>
      </w:r>
      <w:r w:rsidR="001C0406">
        <w:rPr>
          <w:rFonts w:cs="Times New Roman"/>
        </w:rPr>
        <w:t xml:space="preserve">insurer’s </w:t>
      </w:r>
      <w:r>
        <w:rPr>
          <w:rFonts w:cs="Times New Roman"/>
        </w:rPr>
        <w:t xml:space="preserve">engineer </w:t>
      </w:r>
      <w:r w:rsidR="001C0406" w:rsidRPr="001C0406">
        <w:rPr>
          <w:rFonts w:cs="Times New Roman"/>
        </w:rPr>
        <w:t>also concluded the stabilization issues of the property have been ongoing since 1990</w:t>
      </w:r>
      <w:r w:rsidR="000C181A">
        <w:rPr>
          <w:rFonts w:cs="Times New Roman"/>
        </w:rPr>
        <w:t>.</w:t>
      </w:r>
      <w:r w:rsidR="00D66987">
        <w:rPr>
          <w:rFonts w:cs="Times New Roman"/>
        </w:rPr>
        <w:t xml:space="preserve"> </w:t>
      </w:r>
      <w:r>
        <w:rPr>
          <w:rFonts w:cs="Times New Roman"/>
        </w:rPr>
        <w:t xml:space="preserve">Accordingly, FEMA’s review finds the insurer properly denied coverage, as the SFIP excludes earth movement. </w:t>
      </w:r>
    </w:p>
    <w:p w14:paraId="417402E5" w14:textId="77777777" w:rsidR="00D66987" w:rsidRDefault="00D66987" w:rsidP="009F3AD4">
      <w:pPr>
        <w:rPr>
          <w:rFonts w:cs="Times New Roman"/>
        </w:rPr>
      </w:pPr>
    </w:p>
    <w:p w14:paraId="414A458C" w14:textId="57100E23" w:rsidR="004543AF" w:rsidRDefault="004543AF" w:rsidP="009F3AD4">
      <w:pPr>
        <w:rPr>
          <w:rFonts w:eastAsia="Times New Roman" w:cs="Times New Roman"/>
        </w:rPr>
      </w:pPr>
      <w:r w:rsidRPr="004543AF">
        <w:rPr>
          <w:rFonts w:eastAsia="Times New Roman" w:cs="Times New Roman"/>
        </w:rPr>
        <w:t xml:space="preserve">The SFIP does not cover retaining walls. </w:t>
      </w:r>
      <w:r w:rsidR="000C70AD">
        <w:rPr>
          <w:rFonts w:eastAsia="Times New Roman" w:cs="Times New Roman"/>
        </w:rPr>
        <w:t xml:space="preserve">Here, the policyholders contend </w:t>
      </w:r>
      <w:r w:rsidR="00995326">
        <w:rPr>
          <w:rFonts w:eastAsia="Times New Roman" w:cs="Times New Roman"/>
        </w:rPr>
        <w:t xml:space="preserve">soil </w:t>
      </w:r>
      <w:r w:rsidR="000C70AD" w:rsidRPr="000C70AD">
        <w:rPr>
          <w:rFonts w:eastAsia="Times New Roman" w:cs="Times New Roman"/>
        </w:rPr>
        <w:t xml:space="preserve">erosion from an early 2020 flood event </w:t>
      </w:r>
      <w:r w:rsidR="000C70AD">
        <w:rPr>
          <w:rFonts w:eastAsia="Times New Roman" w:cs="Times New Roman"/>
        </w:rPr>
        <w:t>caused</w:t>
      </w:r>
      <w:r w:rsidR="000C70AD" w:rsidRPr="000C70AD">
        <w:rPr>
          <w:rFonts w:eastAsia="Times New Roman" w:cs="Times New Roman"/>
        </w:rPr>
        <w:t xml:space="preserve"> damage to their retaining wall</w:t>
      </w:r>
      <w:r w:rsidRPr="004543AF">
        <w:rPr>
          <w:rFonts w:eastAsia="Times New Roman" w:cs="Times New Roman"/>
        </w:rPr>
        <w:t xml:space="preserve">. </w:t>
      </w:r>
      <w:r w:rsidR="00995326">
        <w:rPr>
          <w:rFonts w:eastAsia="Times New Roman" w:cs="Times New Roman"/>
        </w:rPr>
        <w:t xml:space="preserve">FEMA’s review notes that while the SFIP does not cover retaining walls, the damage to the policyholders’ retaining wall </w:t>
      </w:r>
      <w:r w:rsidR="001C0406">
        <w:rPr>
          <w:rFonts w:eastAsia="Times New Roman" w:cs="Times New Roman"/>
        </w:rPr>
        <w:t xml:space="preserve">also </w:t>
      </w:r>
      <w:r w:rsidR="00995326">
        <w:rPr>
          <w:rFonts w:eastAsia="Times New Roman" w:cs="Times New Roman"/>
        </w:rPr>
        <w:t xml:space="preserve">predated the claimed flood event and the SFIP excludes earth movement. Accordingly, the FEMA’s review finds the insurer properly denied coverage for the retaining wall, as it is not covered under the SFIP.  </w:t>
      </w:r>
    </w:p>
    <w:p w14:paraId="61D43CCF" w14:textId="262DCA83" w:rsidR="00D66987" w:rsidRDefault="00D66987" w:rsidP="009F3AD4">
      <w:pPr>
        <w:rPr>
          <w:rFonts w:eastAsia="Times New Roman" w:cs="Times New Roman"/>
        </w:rPr>
      </w:pPr>
    </w:p>
    <w:p w14:paraId="04D1F8E9" w14:textId="3B06D77B" w:rsidR="00931061" w:rsidRDefault="00995326" w:rsidP="009F3AD4">
      <w:pPr>
        <w:rPr>
          <w:rFonts w:eastAsia="Times New Roman" w:cs="Times New Roman"/>
        </w:rPr>
      </w:pPr>
      <w:r>
        <w:rPr>
          <w:rFonts w:eastAsia="Times New Roman" w:cs="Times New Roman"/>
        </w:rPr>
        <w:t xml:space="preserve">For these reasons, </w:t>
      </w:r>
      <w:r w:rsidR="00931061" w:rsidRPr="00931061">
        <w:rPr>
          <w:rFonts w:eastAsia="Times New Roman" w:cs="Times New Roman"/>
        </w:rPr>
        <w:t>FEMA</w:t>
      </w:r>
      <w:r>
        <w:rPr>
          <w:rFonts w:eastAsia="Times New Roman" w:cs="Times New Roman"/>
        </w:rPr>
        <w:t>’s review</w:t>
      </w:r>
      <w:r w:rsidR="00931061" w:rsidRPr="00931061">
        <w:rPr>
          <w:rFonts w:eastAsia="Times New Roman" w:cs="Times New Roman"/>
        </w:rPr>
        <w:t xml:space="preserve"> finds the ins</w:t>
      </w:r>
      <w:r w:rsidR="00CF7B71">
        <w:rPr>
          <w:rFonts w:eastAsia="Times New Roman" w:cs="Times New Roman"/>
        </w:rPr>
        <w:t>u</w:t>
      </w:r>
      <w:r w:rsidR="00931061" w:rsidRPr="00931061">
        <w:rPr>
          <w:rFonts w:eastAsia="Times New Roman" w:cs="Times New Roman"/>
        </w:rPr>
        <w:t>r</w:t>
      </w:r>
      <w:r w:rsidR="00CF7B71">
        <w:rPr>
          <w:rFonts w:eastAsia="Times New Roman" w:cs="Times New Roman"/>
        </w:rPr>
        <w:t>er</w:t>
      </w:r>
      <w:r w:rsidR="00931061" w:rsidRPr="00931061">
        <w:rPr>
          <w:rFonts w:eastAsia="Times New Roman" w:cs="Times New Roman"/>
        </w:rPr>
        <w:t xml:space="preserve"> properly </w:t>
      </w:r>
      <w:r>
        <w:rPr>
          <w:rFonts w:eastAsia="Times New Roman" w:cs="Times New Roman"/>
        </w:rPr>
        <w:t xml:space="preserve">denied coverage </w:t>
      </w:r>
      <w:r w:rsidRPr="00995326">
        <w:rPr>
          <w:rFonts w:eastAsia="Times New Roman" w:cs="Times New Roman"/>
        </w:rPr>
        <w:t xml:space="preserve">for no general and temporary condition of flood, earth movement exclusion, and no direct physical loss by or from flood. </w:t>
      </w:r>
    </w:p>
    <w:p w14:paraId="26BFD657" w14:textId="288E8B7E" w:rsidR="00995326" w:rsidRDefault="00995326" w:rsidP="009F3AD4">
      <w:pPr>
        <w:rPr>
          <w:rFonts w:eastAsia="Times New Roman" w:cs="Times New Roman"/>
        </w:rPr>
      </w:pPr>
    </w:p>
    <w:p w14:paraId="764E56C4" w14:textId="36639564" w:rsidR="00CF7B71" w:rsidRPr="00B35965" w:rsidRDefault="00676309" w:rsidP="00B35965">
      <w:pPr>
        <w:rPr>
          <w:rFonts w:ascii="Franklin Gothic Demi" w:hAnsi="Franklin Gothic Demi"/>
          <w:color w:val="002060"/>
          <w:sz w:val="28"/>
        </w:rPr>
      </w:pPr>
      <w:r w:rsidRPr="00B35965">
        <w:rPr>
          <w:rFonts w:ascii="Franklin Gothic Demi" w:hAnsi="Franklin Gothic Demi"/>
          <w:color w:val="002060"/>
          <w:sz w:val="28"/>
        </w:rPr>
        <w:t>CONCLUSION</w:t>
      </w:r>
    </w:p>
    <w:p w14:paraId="46A09E27" w14:textId="44DFD683" w:rsidR="002C1E17" w:rsidRPr="00B35965" w:rsidRDefault="008660D0" w:rsidP="00B35965">
      <w:r w:rsidRPr="00B35965">
        <w:rPr>
          <w:rFonts w:ascii="Franklin Gothic Demi" w:hAnsi="Franklin Gothic Demi"/>
          <w:noProof/>
          <w:color w:val="002060"/>
          <w:sz w:val="28"/>
        </w:rPr>
        <mc:AlternateContent>
          <mc:Choice Requires="wps">
            <w:drawing>
              <wp:anchor distT="0" distB="0" distL="114300" distR="114300" simplePos="0" relativeHeight="251660800" behindDoc="0" locked="0" layoutInCell="1" allowOverlap="1" wp14:anchorId="6FF3F89A" wp14:editId="2BD84650">
                <wp:simplePos x="0" y="0"/>
                <wp:positionH relativeFrom="column">
                  <wp:posOffset>0</wp:posOffset>
                </wp:positionH>
                <wp:positionV relativeFrom="paragraph">
                  <wp:posOffset>39370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AE371" id="Straight Connector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" strokecolor="#002060">
                <v:stroke joinstyle="miter"/>
              </v:line>
            </w:pict>
          </mc:Fallback>
        </mc:AlternateContent>
      </w:r>
    </w:p>
    <w:p w14:paraId="01FAEB36" w14:textId="5A469855" w:rsidR="00F60634" w:rsidRPr="001C0406" w:rsidRDefault="00F60634" w:rsidP="001C0406">
      <w:pPr>
        <w:rPr>
          <w:rFonts w:eastAsia="Times New Roman" w:cs="Times New Roman"/>
        </w:rPr>
      </w:pPr>
      <w:r w:rsidRPr="001C0406">
        <w:rPr>
          <w:rFonts w:eastAsia="Times New Roman" w:cs="Times New Roman"/>
        </w:rPr>
        <w:t xml:space="preserve">Based on the facts and analysis above, FEMA concurs with the insurer’s decision to </w:t>
      </w:r>
      <w:r w:rsidR="00CF7B71" w:rsidRPr="001C0406">
        <w:rPr>
          <w:rFonts w:eastAsia="Times New Roman" w:cs="Times New Roman"/>
        </w:rPr>
        <w:t xml:space="preserve">deny coverage </w:t>
      </w:r>
      <w:r w:rsidR="00995326" w:rsidRPr="001C0406">
        <w:rPr>
          <w:rFonts w:eastAsia="Times New Roman" w:cs="Times New Roman"/>
        </w:rPr>
        <w:t xml:space="preserve">for no general and temporary condition of flood, earth movement exclusion, and no direct physical loss by or from flood. </w:t>
      </w:r>
    </w:p>
    <w:p w14:paraId="2E007F63" w14:textId="77777777" w:rsidR="00676309" w:rsidRPr="00B35965" w:rsidRDefault="00676309" w:rsidP="00B35965"/>
    <w:p w14:paraId="6423BE32" w14:textId="77777777" w:rsidR="00676309" w:rsidRPr="00B35965" w:rsidRDefault="00676309" w:rsidP="00B35965"/>
    <w:p w14:paraId="1AAD5878" w14:textId="77777777" w:rsidR="00D21FDA" w:rsidRPr="00B35965" w:rsidRDefault="00D21FDA" w:rsidP="00B35965"/>
    <w:p w14:paraId="33E1E8CA" w14:textId="77777777" w:rsidR="00067AF2" w:rsidRPr="00B35965" w:rsidRDefault="00067AF2" w:rsidP="00B35965">
      <w:pPr>
        <w:rPr>
          <w:b/>
        </w:rPr>
      </w:pPr>
    </w:p>
    <w:p w14:paraId="070EF668" w14:textId="77777777" w:rsidR="00057A1B" w:rsidRDefault="00057A1B" w:rsidP="00B35965">
      <w:pPr>
        <w:rPr>
          <w:rFonts w:ascii="Franklin Gothic Demi" w:hAnsi="Franklin Gothic Demi"/>
          <w:color w:val="FF0000"/>
          <w:sz w:val="20"/>
        </w:rPr>
      </w:pPr>
    </w:p>
    <w:p w14:paraId="4981AA46" w14:textId="77777777" w:rsidR="00057A1B" w:rsidRDefault="00057A1B" w:rsidP="00B35965">
      <w:pPr>
        <w:rPr>
          <w:rFonts w:ascii="Franklin Gothic Demi" w:hAnsi="Franklin Gothic Demi"/>
          <w:color w:val="FF0000"/>
          <w:sz w:val="20"/>
        </w:rPr>
      </w:pPr>
    </w:p>
    <w:p w14:paraId="331F42F8" w14:textId="77777777" w:rsidR="00057A1B" w:rsidRDefault="00057A1B" w:rsidP="00B35965">
      <w:pPr>
        <w:rPr>
          <w:rFonts w:ascii="Franklin Gothic Demi" w:hAnsi="Franklin Gothic Demi"/>
          <w:color w:val="FF0000"/>
          <w:sz w:val="20"/>
        </w:rPr>
      </w:pPr>
    </w:p>
    <w:p w14:paraId="5CA57BEB" w14:textId="77777777" w:rsidR="00057A1B" w:rsidRDefault="00057A1B" w:rsidP="00B35965">
      <w:pPr>
        <w:rPr>
          <w:rFonts w:ascii="Franklin Gothic Demi" w:hAnsi="Franklin Gothic Demi"/>
          <w:color w:val="FF0000"/>
          <w:sz w:val="20"/>
        </w:rPr>
      </w:pPr>
    </w:p>
    <w:p w14:paraId="506E1F84" w14:textId="77777777" w:rsidR="00057A1B" w:rsidRDefault="00057A1B" w:rsidP="00B35965">
      <w:pPr>
        <w:rPr>
          <w:rFonts w:ascii="Franklin Gothic Demi" w:hAnsi="Franklin Gothic Demi"/>
          <w:color w:val="FF0000"/>
          <w:sz w:val="20"/>
        </w:rPr>
      </w:pPr>
    </w:p>
    <w:p w14:paraId="63F15E26" w14:textId="77777777" w:rsidR="00057A1B" w:rsidRDefault="00057A1B" w:rsidP="00B35965">
      <w:pPr>
        <w:rPr>
          <w:rFonts w:ascii="Franklin Gothic Demi" w:hAnsi="Franklin Gothic Demi"/>
          <w:color w:val="FF0000"/>
          <w:sz w:val="20"/>
        </w:rPr>
      </w:pPr>
    </w:p>
    <w:p w14:paraId="7E52F9C6" w14:textId="77777777" w:rsidR="00057A1B" w:rsidRDefault="00057A1B" w:rsidP="00B35965">
      <w:pPr>
        <w:rPr>
          <w:rFonts w:ascii="Franklin Gothic Demi" w:hAnsi="Franklin Gothic Demi"/>
          <w:color w:val="FF0000"/>
          <w:sz w:val="20"/>
        </w:rPr>
      </w:pPr>
    </w:p>
    <w:p w14:paraId="06D2CA00" w14:textId="77777777" w:rsidR="00057A1B" w:rsidRDefault="00057A1B" w:rsidP="00B35965">
      <w:pPr>
        <w:rPr>
          <w:rFonts w:ascii="Franklin Gothic Demi" w:hAnsi="Franklin Gothic Demi"/>
          <w:color w:val="FF0000"/>
          <w:sz w:val="20"/>
        </w:rPr>
      </w:pPr>
    </w:p>
    <w:p w14:paraId="04943C9B" w14:textId="77777777" w:rsidR="00057A1B" w:rsidRDefault="00057A1B" w:rsidP="00B35965">
      <w:pPr>
        <w:rPr>
          <w:rFonts w:ascii="Franklin Gothic Demi" w:hAnsi="Franklin Gothic Demi"/>
          <w:color w:val="FF0000"/>
          <w:sz w:val="20"/>
        </w:rPr>
      </w:pPr>
    </w:p>
    <w:p w14:paraId="179C96A3" w14:textId="77777777" w:rsidR="00057A1B" w:rsidRDefault="00057A1B" w:rsidP="00B35965">
      <w:pPr>
        <w:rPr>
          <w:rFonts w:ascii="Franklin Gothic Demi" w:hAnsi="Franklin Gothic Demi"/>
          <w:color w:val="FF0000"/>
          <w:sz w:val="20"/>
        </w:rPr>
      </w:pPr>
    </w:p>
    <w:p w14:paraId="096CD9F8" w14:textId="77777777" w:rsidR="00057A1B" w:rsidRDefault="00057A1B" w:rsidP="00B35965">
      <w:pPr>
        <w:rPr>
          <w:rFonts w:ascii="Franklin Gothic Demi" w:hAnsi="Franklin Gothic Demi"/>
          <w:color w:val="FF0000"/>
          <w:sz w:val="20"/>
        </w:rPr>
      </w:pPr>
    </w:p>
    <w:p w14:paraId="0AC53338" w14:textId="77777777" w:rsidR="00057A1B" w:rsidRDefault="00057A1B" w:rsidP="00B35965">
      <w:pPr>
        <w:rPr>
          <w:rFonts w:ascii="Franklin Gothic Demi" w:hAnsi="Franklin Gothic Demi"/>
          <w:color w:val="FF0000"/>
          <w:sz w:val="20"/>
        </w:rPr>
      </w:pPr>
    </w:p>
    <w:p w14:paraId="29E4452C" w14:textId="77777777" w:rsidR="00057A1B" w:rsidRDefault="00057A1B" w:rsidP="00B35965">
      <w:pPr>
        <w:rPr>
          <w:rFonts w:ascii="Franklin Gothic Demi" w:hAnsi="Franklin Gothic Demi"/>
          <w:color w:val="FF0000"/>
          <w:sz w:val="20"/>
        </w:rPr>
      </w:pPr>
    </w:p>
    <w:p w14:paraId="37E90473" w14:textId="77777777" w:rsidR="00057A1B" w:rsidRDefault="00057A1B" w:rsidP="00B35965">
      <w:pPr>
        <w:rPr>
          <w:rFonts w:ascii="Franklin Gothic Demi" w:hAnsi="Franklin Gothic Demi"/>
          <w:color w:val="FF0000"/>
          <w:sz w:val="20"/>
        </w:rPr>
      </w:pPr>
    </w:p>
    <w:p w14:paraId="4889B4E2" w14:textId="353E73B0" w:rsidR="00D21FDA" w:rsidRPr="00B35965" w:rsidRDefault="00D21FDA" w:rsidP="00B35965">
      <w:pPr>
        <w:rPr>
          <w:rFonts w:ascii="Franklin Gothic Book" w:hAnsi="Franklin Gothic Book"/>
          <w:sz w:val="20"/>
        </w:rPr>
      </w:pPr>
      <w:r w:rsidRPr="00B35965">
        <w:rPr>
          <w:rFonts w:ascii="Franklin Gothic Demi" w:hAnsi="Franklin Gothic Demi"/>
          <w:color w:val="FF0000"/>
          <w:sz w:val="20"/>
        </w:rPr>
        <w:t xml:space="preserve">NOTICE: </w:t>
      </w:r>
      <w:r w:rsidRPr="00B35965">
        <w:rPr>
          <w:rFonts w:ascii="Franklin Gothic Book" w:hAnsi="Franklin Gothic Book"/>
          <w:sz w:val="20"/>
        </w:rPr>
        <w:t xml:space="preserve">Delivery of this Appeal Decision </w:t>
      </w:r>
      <w:r w:rsidRPr="00B35965">
        <w:rPr>
          <w:rFonts w:ascii="Franklin Gothic Demi" w:hAnsi="Franklin Gothic Demi"/>
          <w:sz w:val="20"/>
        </w:rPr>
        <w:t>concludes your appeal</w:t>
      </w:r>
      <w:r w:rsidRPr="00B35965">
        <w:rPr>
          <w:rFonts w:ascii="Franklin Gothic Book" w:hAnsi="Franklin Gothic Book"/>
          <w:sz w:val="20"/>
        </w:rPr>
        <w:t xml:space="preserve">, pursuant to 44 C.F.R. § 62.20(f)(3). </w:t>
      </w:r>
      <w:r w:rsidR="008660D0" w:rsidRPr="00B35965">
        <w:rPr>
          <w:rFonts w:ascii="Franklin Gothic Book" w:hAnsi="Franklin Gothic Book"/>
          <w:sz w:val="20"/>
        </w:rPr>
        <w:t xml:space="preserve">If you do </w:t>
      </w:r>
      <w:r w:rsidRPr="00B35965">
        <w:rPr>
          <w:rFonts w:ascii="Franklin Gothic Book" w:hAnsi="Franklin Gothic Book"/>
          <w:sz w:val="20"/>
        </w:rPr>
        <w:t>not agree with FEMA’s Appeal Decision</w:t>
      </w:r>
      <w:r w:rsidR="008660D0" w:rsidRPr="00B35965">
        <w:rPr>
          <w:rFonts w:ascii="Franklin Gothic Book" w:hAnsi="Franklin Gothic Book"/>
          <w:sz w:val="20"/>
        </w:rPr>
        <w:t>,</w:t>
      </w:r>
      <w:r w:rsidRPr="00B35965">
        <w:rPr>
          <w:rFonts w:ascii="Franklin Gothic Book" w:hAnsi="Franklin Gothic Book"/>
          <w:sz w:val="20"/>
        </w:rPr>
        <w:t xml:space="preserve"> </w:t>
      </w:r>
      <w:r w:rsidR="008660D0" w:rsidRPr="00B35965">
        <w:rPr>
          <w:rFonts w:ascii="Franklin Gothic Book" w:hAnsi="Franklin Gothic Book"/>
          <w:sz w:val="20"/>
        </w:rPr>
        <w:t xml:space="preserve">please </w:t>
      </w:r>
      <w:r w:rsidRPr="00B35965">
        <w:rPr>
          <w:rFonts w:ascii="Franklin Gothic Book" w:hAnsi="Franklin Gothic Book"/>
          <w:sz w:val="20"/>
        </w:rPr>
        <w:t xml:space="preserve">refer to the Standard Flood Insurance Policy for options for further action. </w:t>
      </w:r>
      <w:r w:rsidRPr="00B35965">
        <w:rPr>
          <w:rFonts w:ascii="Franklin Gothic Demi" w:hAnsi="Franklin Gothic Demi"/>
          <w:sz w:val="20"/>
        </w:rPr>
        <w:t xml:space="preserve">The </w:t>
      </w:r>
      <w:r w:rsidR="008660D0" w:rsidRPr="00B35965">
        <w:rPr>
          <w:rFonts w:ascii="Franklin Gothic Demi" w:hAnsi="Franklin Gothic Demi"/>
          <w:sz w:val="20"/>
        </w:rPr>
        <w:t xml:space="preserve">appeals process does not extend the </w:t>
      </w:r>
      <w:r w:rsidRPr="00B35965">
        <w:rPr>
          <w:rFonts w:ascii="Franklin Gothic Demi" w:hAnsi="Franklin Gothic Demi"/>
          <w:sz w:val="20"/>
        </w:rPr>
        <w:t xml:space="preserve">one-year period to file suit against the flood insurer </w:t>
      </w:r>
      <w:r w:rsidR="008660D0" w:rsidRPr="00B35965">
        <w:rPr>
          <w:rFonts w:ascii="Franklin Gothic Demi" w:hAnsi="Franklin Gothic Demi"/>
          <w:sz w:val="20"/>
        </w:rPr>
        <w:t>that began when the insurer denied your claim in writing</w:t>
      </w:r>
      <w:r w:rsidRPr="00B35965">
        <w:rPr>
          <w:rFonts w:ascii="Franklin Gothic Demi" w:hAnsi="Franklin Gothic Demi"/>
          <w:sz w:val="20"/>
        </w:rPr>
        <w:t xml:space="preserve">. </w:t>
      </w:r>
      <w:r w:rsidRPr="00B35965">
        <w:rPr>
          <w:rFonts w:ascii="Franklin Gothic Book" w:hAnsi="Franklin Gothic Book"/>
          <w:sz w:val="20"/>
          <w:u w:val="single"/>
        </w:rPr>
        <w:t>44 C.F.R. § 62.20(f)(4)</w:t>
      </w:r>
      <w:r w:rsidRPr="00B35965">
        <w:rPr>
          <w:rFonts w:ascii="Franklin Gothic Book" w:hAnsi="Franklin Gothic Book"/>
          <w:sz w:val="20"/>
        </w:rPr>
        <w:t xml:space="preserve">. </w:t>
      </w:r>
    </w:p>
    <w:p w14:paraId="65ED0D54" w14:textId="77777777" w:rsidR="00D21FDA" w:rsidRPr="00B35965" w:rsidRDefault="00D21FDA" w:rsidP="00B35965">
      <w:pPr>
        <w:rPr>
          <w:rFonts w:ascii="Franklin Gothic Book" w:hAnsi="Franklin Gothic Book"/>
          <w:sz w:val="20"/>
        </w:rPr>
      </w:pPr>
    </w:p>
    <w:p w14:paraId="246121DD" w14:textId="6E0746B4" w:rsidR="0014149D" w:rsidRPr="00B35965" w:rsidRDefault="008660D0" w:rsidP="00B35965">
      <w:r w:rsidRPr="00B35965">
        <w:rPr>
          <w:rFonts w:ascii="Franklin Gothic Book" w:hAnsi="Franklin Gothic Book"/>
          <w:sz w:val="20"/>
        </w:rPr>
        <w:t xml:space="preserve">You </w:t>
      </w:r>
      <w:r w:rsidR="00D21FDA" w:rsidRPr="00B35965">
        <w:rPr>
          <w:rFonts w:ascii="Franklin Gothic Book" w:hAnsi="Franklin Gothic Book"/>
          <w:sz w:val="20"/>
        </w:rPr>
        <w:t xml:space="preserve">may request a phone discussion with a FEMA flood insurance expert regarding this Appeals Decision by emailing </w:t>
      </w:r>
      <w:hyperlink r:id="rId12" w:history="1">
        <w:r w:rsidR="00D21FDA" w:rsidRPr="00B35965">
          <w:rPr>
            <w:rStyle w:val="Hyperlink"/>
            <w:rFonts w:ascii="Franklin Gothic Book" w:hAnsi="Franklin Gothic Book"/>
            <w:sz w:val="20"/>
          </w:rPr>
          <w:t>FEMA-FI-Appeals@fema.dhs.gov</w:t>
        </w:r>
      </w:hyperlink>
      <w:r w:rsidR="00D21FDA" w:rsidRPr="00B35965">
        <w:rPr>
          <w:rFonts w:ascii="Franklin Gothic Book" w:hAnsi="Franklin Gothic Book"/>
          <w:sz w:val="20"/>
        </w:rPr>
        <w:t xml:space="preserve"> and referencing the FEMA Flood Insurance Appeal Number </w:t>
      </w:r>
      <w:r w:rsidRPr="00B35965">
        <w:rPr>
          <w:rFonts w:ascii="Franklin Gothic Book" w:hAnsi="Franklin Gothic Book"/>
          <w:sz w:val="20"/>
        </w:rPr>
        <w:t>shown above</w:t>
      </w:r>
      <w:r w:rsidR="00D21FDA" w:rsidRPr="00B35965">
        <w:rPr>
          <w:rFonts w:ascii="Franklin Gothic Book" w:hAnsi="Franklin Gothic Book"/>
          <w:sz w:val="20"/>
        </w:rPr>
        <w:t xml:space="preserve">. </w:t>
      </w:r>
      <w:r w:rsidR="00D21FDA" w:rsidRPr="00B35965">
        <w:rPr>
          <w:rFonts w:ascii="Franklin Gothic Demi" w:hAnsi="Franklin Gothic Demi"/>
          <w:sz w:val="20"/>
        </w:rPr>
        <w:t>Such discussions are for informational purposes only. FEMA will not reopen the appeal or consider new information during any phone discussion.</w:t>
      </w:r>
    </w:p>
    <w:sectPr w:rsidR="0014149D" w:rsidRPr="00B359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A3B6" w14:textId="77777777" w:rsidR="00757B36" w:rsidRDefault="00757B36">
      <w:pPr>
        <w:spacing w:line="240" w:lineRule="auto"/>
      </w:pPr>
      <w:r>
        <w:separator/>
      </w:r>
    </w:p>
  </w:endnote>
  <w:endnote w:type="continuationSeparator" w:id="0">
    <w:p w14:paraId="4FDEE8D1" w14:textId="77777777" w:rsidR="00757B36" w:rsidRDefault="0075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30748"/>
      <w:docPartObj>
        <w:docPartGallery w:val="Page Numbers (Bottom of Page)"/>
        <w:docPartUnique/>
      </w:docPartObj>
    </w:sdtPr>
    <w:sdtEndPr>
      <w:rPr>
        <w:color w:val="7F7F7F" w:themeColor="background1" w:themeShade="7F"/>
        <w:spacing w:val="60"/>
      </w:rPr>
    </w:sdtEndPr>
    <w:sdtContent>
      <w:p w14:paraId="26776D97" w14:textId="449392D4" w:rsidR="00F6250E" w:rsidRDefault="000736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4D4">
          <w:rPr>
            <w:noProof/>
          </w:rPr>
          <w:t>1</w:t>
        </w:r>
        <w:r>
          <w:rPr>
            <w:noProof/>
          </w:rPr>
          <w:fldChar w:fldCharType="end"/>
        </w:r>
        <w:r>
          <w:t xml:space="preserve"> | </w:t>
        </w:r>
        <w:r w:rsidR="008660D0">
          <w:t xml:space="preserve">FEMA </w:t>
        </w:r>
        <w:r w:rsidR="00127451">
          <w:t>#A10</w:t>
        </w:r>
      </w:p>
    </w:sdtContent>
  </w:sdt>
  <w:p w14:paraId="4EB408E7" w14:textId="77777777" w:rsidR="00F6250E" w:rsidRDefault="0075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174F" w14:textId="77777777" w:rsidR="00757B36" w:rsidRDefault="00757B36">
      <w:pPr>
        <w:spacing w:line="240" w:lineRule="auto"/>
      </w:pPr>
      <w:r>
        <w:separator/>
      </w:r>
    </w:p>
  </w:footnote>
  <w:footnote w:type="continuationSeparator" w:id="0">
    <w:p w14:paraId="0A15BCE2" w14:textId="77777777" w:rsidR="00757B36" w:rsidRDefault="00757B36">
      <w:pPr>
        <w:spacing w:line="240" w:lineRule="auto"/>
      </w:pPr>
      <w:r>
        <w:continuationSeparator/>
      </w:r>
    </w:p>
  </w:footnote>
  <w:footnote w:id="1">
    <w:p w14:paraId="605A90F1" w14:textId="614ED217" w:rsidR="00F60634" w:rsidRPr="001C0406" w:rsidRDefault="00F60634" w:rsidP="00CF6FCC">
      <w:pPr>
        <w:spacing w:before="42" w:line="240" w:lineRule="auto"/>
        <w:ind w:right="-14"/>
        <w:rPr>
          <w:rFonts w:eastAsia="Times New Roman" w:cs="Times New Roman"/>
          <w:sz w:val="20"/>
          <w:szCs w:val="20"/>
        </w:rPr>
      </w:pPr>
      <w:r w:rsidRPr="005B4EE7">
        <w:rPr>
          <w:rStyle w:val="FootnoteReference"/>
          <w:sz w:val="20"/>
          <w:szCs w:val="20"/>
        </w:rPr>
        <w:footnoteRef/>
      </w:r>
      <w:r w:rsidRPr="005B4EE7">
        <w:rPr>
          <w:sz w:val="20"/>
          <w:szCs w:val="20"/>
        </w:rPr>
        <w:t xml:space="preserve"> </w:t>
      </w:r>
      <w:r w:rsidRPr="001C0406">
        <w:rPr>
          <w:rFonts w:eastAsia="Times New Roman" w:cs="Times New Roman"/>
          <w:i/>
          <w:sz w:val="20"/>
          <w:szCs w:val="20"/>
        </w:rPr>
        <w:t xml:space="preserve">See </w:t>
      </w:r>
      <w:r w:rsidRPr="001C0406">
        <w:rPr>
          <w:rFonts w:eastAsia="Times New Roman" w:cs="Times New Roman"/>
          <w:sz w:val="20"/>
          <w:szCs w:val="20"/>
        </w:rPr>
        <w:t>44 C.F.R.</w:t>
      </w:r>
      <w:r w:rsidR="0035012E" w:rsidRPr="001C0406">
        <w:rPr>
          <w:rFonts w:eastAsia="Times New Roman" w:cs="Times New Roman"/>
          <w:sz w:val="20"/>
          <w:szCs w:val="20"/>
        </w:rPr>
        <w:t xml:space="preserve"> § </w:t>
      </w:r>
      <w:r w:rsidR="006000BF" w:rsidRPr="001C0406">
        <w:rPr>
          <w:rFonts w:eastAsia="Times New Roman" w:cs="Times New Roman"/>
          <w:sz w:val="20"/>
          <w:szCs w:val="20"/>
        </w:rPr>
        <w:t>61.13 (201</w:t>
      </w:r>
      <w:r w:rsidR="00A4325F" w:rsidRPr="001C0406">
        <w:rPr>
          <w:rFonts w:eastAsia="Times New Roman" w:cs="Times New Roman"/>
          <w:sz w:val="20"/>
          <w:szCs w:val="20"/>
        </w:rPr>
        <w:t>9</w:t>
      </w:r>
      <w:r w:rsidR="006000BF" w:rsidRPr="001C0406">
        <w:rPr>
          <w:rFonts w:eastAsia="Times New Roman" w:cs="Times New Roman"/>
          <w:sz w:val="20"/>
          <w:szCs w:val="20"/>
        </w:rPr>
        <w:t>)</w:t>
      </w:r>
      <w:r w:rsidR="00726B78" w:rsidRPr="001C0406">
        <w:rPr>
          <w:rFonts w:eastAsia="Times New Roman" w:cs="Times New Roman"/>
          <w:sz w:val="20"/>
          <w:szCs w:val="20"/>
        </w:rPr>
        <w:t xml:space="preserve">; </w:t>
      </w:r>
      <w:r w:rsidR="00A42294" w:rsidRPr="001C0406">
        <w:rPr>
          <w:rFonts w:eastAsia="Times New Roman" w:cs="Times New Roman"/>
          <w:sz w:val="20"/>
          <w:szCs w:val="20"/>
        </w:rPr>
        <w:t>Dwelling</w:t>
      </w:r>
      <w:r w:rsidR="00726B78" w:rsidRPr="001C0406">
        <w:rPr>
          <w:rFonts w:eastAsia="Times New Roman" w:cs="Times New Roman"/>
          <w:sz w:val="20"/>
          <w:szCs w:val="20"/>
        </w:rPr>
        <w:t xml:space="preserve"> </w:t>
      </w:r>
      <w:r w:rsidR="00C66B78" w:rsidRPr="001C0406">
        <w:rPr>
          <w:rFonts w:eastAsia="Times New Roman" w:cs="Times New Roman"/>
          <w:sz w:val="20"/>
          <w:szCs w:val="20"/>
        </w:rPr>
        <w:t>F</w:t>
      </w:r>
      <w:r w:rsidR="00726B78" w:rsidRPr="001C0406">
        <w:rPr>
          <w:rFonts w:eastAsia="Times New Roman" w:cs="Times New Roman"/>
          <w:sz w:val="20"/>
          <w:szCs w:val="20"/>
        </w:rPr>
        <w:t>orm</w:t>
      </w:r>
      <w:r w:rsidR="0035012E" w:rsidRPr="001C0406">
        <w:rPr>
          <w:rFonts w:eastAsia="Times New Roman" w:cs="Times New Roman"/>
          <w:sz w:val="20"/>
          <w:szCs w:val="20"/>
        </w:rPr>
        <w:t xml:space="preserve"> available at </w:t>
      </w:r>
      <w:r w:rsidR="00726B78" w:rsidRPr="001C0406">
        <w:rPr>
          <w:rFonts w:eastAsia="Times New Roman" w:cs="Times New Roman"/>
          <w:sz w:val="20"/>
          <w:szCs w:val="20"/>
        </w:rPr>
        <w:t xml:space="preserve">44 C.F.R. </w:t>
      </w:r>
      <w:r w:rsidR="0035012E" w:rsidRPr="001C0406">
        <w:rPr>
          <w:rFonts w:eastAsia="Times New Roman" w:cs="Times New Roman"/>
          <w:sz w:val="20"/>
          <w:szCs w:val="20"/>
        </w:rPr>
        <w:t>pt. 61 App. A(</w:t>
      </w:r>
      <w:r w:rsidR="00A42294" w:rsidRPr="001C0406">
        <w:rPr>
          <w:rFonts w:eastAsia="Times New Roman" w:cs="Times New Roman"/>
          <w:sz w:val="20"/>
          <w:szCs w:val="20"/>
        </w:rPr>
        <w:t>1</w:t>
      </w:r>
      <w:r w:rsidR="0035012E" w:rsidRPr="001C0406">
        <w:rPr>
          <w:rFonts w:eastAsia="Times New Roman" w:cs="Times New Roman"/>
          <w:sz w:val="20"/>
          <w:szCs w:val="20"/>
        </w:rPr>
        <w:t xml:space="preserve">) </w:t>
      </w:r>
      <w:r w:rsidRPr="001C0406">
        <w:rPr>
          <w:rFonts w:eastAsia="Times New Roman" w:cs="Times New Roman"/>
          <w:sz w:val="20"/>
          <w:szCs w:val="20"/>
        </w:rPr>
        <w:t>[hereinafter “SFIP”].</w:t>
      </w:r>
    </w:p>
  </w:footnote>
  <w:footnote w:id="2">
    <w:p w14:paraId="0D77448C" w14:textId="64491E51" w:rsidR="00F60634" w:rsidRPr="001C0406" w:rsidRDefault="00F60634" w:rsidP="00F60634">
      <w:pPr>
        <w:pStyle w:val="FootnoteText"/>
      </w:pPr>
      <w:r w:rsidRPr="001C0406">
        <w:rPr>
          <w:rStyle w:val="FootnoteReference"/>
        </w:rPr>
        <w:footnoteRef/>
      </w:r>
      <w:r w:rsidRPr="001C0406">
        <w:t xml:space="preserve"> The policyholders</w:t>
      </w:r>
      <w:r w:rsidR="00C66B78" w:rsidRPr="001C0406">
        <w:t>’</w:t>
      </w:r>
      <w:r w:rsidRPr="001C0406">
        <w:t xml:space="preserve"> appeal and related documents concerning the appeal, claim, or policy are on file with FEMA, Federal Insurance and Mitigation Administration, Federal Insurance, Policyholder Services Division, Appeals Branch [hereinafter “</w:t>
      </w:r>
      <w:r w:rsidR="00C66B78" w:rsidRPr="001C0406">
        <w:t>A</w:t>
      </w:r>
      <w:r w:rsidRPr="001C0406">
        <w:t xml:space="preserve">ppeal </w:t>
      </w:r>
      <w:r w:rsidR="00C66B78" w:rsidRPr="001C0406">
        <w:t>F</w:t>
      </w:r>
      <w:r w:rsidRPr="001C0406">
        <w:t>ile”]</w:t>
      </w:r>
      <w:r w:rsidR="00C66B78" w:rsidRPr="001C0406">
        <w:t>.</w:t>
      </w:r>
    </w:p>
  </w:footnote>
  <w:footnote w:id="3">
    <w:p w14:paraId="38C56BEF" w14:textId="4D9657BC" w:rsidR="007E1D01" w:rsidRDefault="007E1D01">
      <w:pPr>
        <w:pStyle w:val="FootnoteText"/>
      </w:pPr>
      <w:r w:rsidRPr="001C0406">
        <w:rPr>
          <w:rStyle w:val="FootnoteReference"/>
        </w:rPr>
        <w:footnoteRef/>
      </w:r>
      <w:r w:rsidRPr="001C0406">
        <w:t xml:space="preserve"> </w:t>
      </w:r>
      <w:r w:rsidRPr="001C0406">
        <w:rPr>
          <w:i/>
          <w:iCs/>
        </w:rPr>
        <w:t xml:space="preserve">See </w:t>
      </w:r>
      <w:r w:rsidRPr="001C0406">
        <w:t>Appeal File, Adjuster’s Preliminary Report.</w:t>
      </w:r>
    </w:p>
  </w:footnote>
  <w:footnote w:id="4">
    <w:p w14:paraId="786B6FD3" w14:textId="23058528" w:rsidR="00995326" w:rsidRDefault="00995326">
      <w:pPr>
        <w:pStyle w:val="FootnoteText"/>
      </w:pPr>
      <w:r>
        <w:rPr>
          <w:rStyle w:val="FootnoteReference"/>
        </w:rPr>
        <w:footnoteRef/>
      </w:r>
      <w:r>
        <w:t xml:space="preserve"> </w:t>
      </w:r>
      <w:r w:rsidRPr="001C0406">
        <w:rPr>
          <w:i/>
          <w:iCs/>
        </w:rPr>
        <w:t>See</w:t>
      </w:r>
      <w:r>
        <w:t xml:space="preserve"> Appeal File, Insurer’s Engineering Report</w:t>
      </w:r>
      <w:r w:rsidR="00127451">
        <w:t>.</w:t>
      </w:r>
    </w:p>
  </w:footnote>
  <w:footnote w:id="5">
    <w:p w14:paraId="42E0F063" w14:textId="1B3DCDAD" w:rsidR="00507854" w:rsidRDefault="00507854">
      <w:pPr>
        <w:pStyle w:val="FootnoteText"/>
      </w:pPr>
      <w:r>
        <w:rPr>
          <w:rStyle w:val="FootnoteReference"/>
        </w:rPr>
        <w:footnoteRef/>
      </w:r>
      <w:r>
        <w:t xml:space="preserve"> </w:t>
      </w:r>
      <w:r w:rsidRPr="001C0406">
        <w:rPr>
          <w:i/>
          <w:iCs/>
        </w:rPr>
        <w:t>See</w:t>
      </w:r>
      <w:r>
        <w:t xml:space="preserve"> Appeal File, Insurer’s Addendum Engineering Report</w:t>
      </w:r>
      <w:r w:rsidR="00127451">
        <w:t>.</w:t>
      </w:r>
    </w:p>
  </w:footnote>
  <w:footnote w:id="6">
    <w:p w14:paraId="0649F90B" w14:textId="422F6179" w:rsidR="009F3AD4" w:rsidRDefault="009F3AD4">
      <w:pPr>
        <w:pStyle w:val="FootnoteText"/>
      </w:pPr>
      <w:r>
        <w:rPr>
          <w:rStyle w:val="FootnoteReference"/>
        </w:rPr>
        <w:footnoteRef/>
      </w:r>
      <w:r>
        <w:t xml:space="preserve"> </w:t>
      </w:r>
      <w:r w:rsidRPr="009F3AD4">
        <w:rPr>
          <w:i/>
          <w:iCs/>
        </w:rPr>
        <w:t>See</w:t>
      </w:r>
      <w:r>
        <w:t xml:space="preserve"> SFIP (I), (II)(B)(12)</w:t>
      </w:r>
      <w:r w:rsidR="00BB37EA">
        <w:t>.</w:t>
      </w:r>
    </w:p>
  </w:footnote>
  <w:footnote w:id="7">
    <w:p w14:paraId="6C6F11DB" w14:textId="2EBB44F0" w:rsidR="00A31FF8" w:rsidRDefault="00A31FF8">
      <w:pPr>
        <w:pStyle w:val="FootnoteText"/>
      </w:pPr>
      <w:r>
        <w:rPr>
          <w:rStyle w:val="FootnoteReference"/>
        </w:rPr>
        <w:footnoteRef/>
      </w:r>
      <w:r>
        <w:t xml:space="preserve"> </w:t>
      </w:r>
      <w:r w:rsidRPr="00A31FF8">
        <w:rPr>
          <w:i/>
          <w:iCs/>
        </w:rPr>
        <w:t>See</w:t>
      </w:r>
      <w:r>
        <w:t xml:space="preserve"> SFIP (II)(A)(1)</w:t>
      </w:r>
      <w:r w:rsidR="00BB37EA">
        <w:t>.</w:t>
      </w:r>
    </w:p>
  </w:footnote>
  <w:footnote w:id="8">
    <w:p w14:paraId="77D0E2BF" w14:textId="615066D4" w:rsidR="00A31FF8" w:rsidRDefault="00A31FF8">
      <w:pPr>
        <w:pStyle w:val="FootnoteText"/>
      </w:pPr>
      <w:r>
        <w:rPr>
          <w:rStyle w:val="FootnoteReference"/>
        </w:rPr>
        <w:footnoteRef/>
      </w:r>
      <w:r>
        <w:t xml:space="preserve"> </w:t>
      </w:r>
      <w:r w:rsidRPr="00A31FF8">
        <w:rPr>
          <w:i/>
          <w:iCs/>
        </w:rPr>
        <w:t>See</w:t>
      </w:r>
      <w:r>
        <w:t xml:space="preserve"> SFIP (IV)(12)</w:t>
      </w:r>
      <w:r w:rsidR="00BB37EA">
        <w:t>.</w:t>
      </w:r>
    </w:p>
  </w:footnote>
  <w:footnote w:id="9">
    <w:p w14:paraId="7BEF26A8" w14:textId="6485C355" w:rsidR="009F3AD4" w:rsidRDefault="009F3AD4" w:rsidP="009F3AD4">
      <w:pPr>
        <w:pStyle w:val="FootnoteText"/>
      </w:pPr>
      <w:r>
        <w:rPr>
          <w:rStyle w:val="FootnoteReference"/>
        </w:rPr>
        <w:footnoteRef/>
      </w:r>
      <w:r>
        <w:t xml:space="preserve"> </w:t>
      </w:r>
      <w:r w:rsidRPr="000947A8">
        <w:rPr>
          <w:i/>
        </w:rPr>
        <w:t>See</w:t>
      </w:r>
      <w:r>
        <w:t xml:space="preserve"> SFIP (V)(C)</w:t>
      </w:r>
      <w:r w:rsidR="00BB37EA">
        <w:t>.</w:t>
      </w:r>
    </w:p>
  </w:footnote>
  <w:footnote w:id="10">
    <w:p w14:paraId="0020E88D" w14:textId="5BD4D1DD" w:rsidR="00995326" w:rsidRDefault="00995326">
      <w:pPr>
        <w:pStyle w:val="FootnoteText"/>
      </w:pPr>
      <w:r>
        <w:rPr>
          <w:rStyle w:val="FootnoteReference"/>
        </w:rPr>
        <w:footnoteRef/>
      </w:r>
      <w:r>
        <w:t xml:space="preserve"> </w:t>
      </w:r>
      <w:r w:rsidRPr="001C0406">
        <w:rPr>
          <w:i/>
          <w:iCs/>
        </w:rPr>
        <w:t>See</w:t>
      </w:r>
      <w:r>
        <w:t xml:space="preserve"> Appeal File, Policyholder’s Engineering Report</w:t>
      </w:r>
      <w:r w:rsidR="0012745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B43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5AF8"/>
    <w:multiLevelType w:val="hybridMultilevel"/>
    <w:tmpl w:val="4032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1535"/>
    <w:multiLevelType w:val="hybridMultilevel"/>
    <w:tmpl w:val="94040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6D36"/>
    <w:multiLevelType w:val="hybridMultilevel"/>
    <w:tmpl w:val="8AC2D4D2"/>
    <w:lvl w:ilvl="0" w:tplc="1518B9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08B4"/>
    <w:multiLevelType w:val="hybridMultilevel"/>
    <w:tmpl w:val="065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2109E"/>
    <w:multiLevelType w:val="hybridMultilevel"/>
    <w:tmpl w:val="D4705A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D705106"/>
    <w:multiLevelType w:val="hybridMultilevel"/>
    <w:tmpl w:val="0F5EF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F54D0"/>
    <w:multiLevelType w:val="hybridMultilevel"/>
    <w:tmpl w:val="D1B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MjIyMDI0sDA2MDJT0lEKTi0uzszPAykwrAUA7ZQrIywAAAA="/>
  </w:docVars>
  <w:rsids>
    <w:rsidRoot w:val="00676309"/>
    <w:rsid w:val="00021007"/>
    <w:rsid w:val="00057A1B"/>
    <w:rsid w:val="00067AF2"/>
    <w:rsid w:val="000736F0"/>
    <w:rsid w:val="000A1DA1"/>
    <w:rsid w:val="000C181A"/>
    <w:rsid w:val="000C70AD"/>
    <w:rsid w:val="000D216D"/>
    <w:rsid w:val="000D34BC"/>
    <w:rsid w:val="001037E6"/>
    <w:rsid w:val="00104528"/>
    <w:rsid w:val="00107360"/>
    <w:rsid w:val="001273A3"/>
    <w:rsid w:val="00127451"/>
    <w:rsid w:val="0014149D"/>
    <w:rsid w:val="001628D8"/>
    <w:rsid w:val="00181DC1"/>
    <w:rsid w:val="001C0406"/>
    <w:rsid w:val="0022224A"/>
    <w:rsid w:val="00223910"/>
    <w:rsid w:val="002417CA"/>
    <w:rsid w:val="00252618"/>
    <w:rsid w:val="00262AB7"/>
    <w:rsid w:val="0027137C"/>
    <w:rsid w:val="00273FF8"/>
    <w:rsid w:val="002775F9"/>
    <w:rsid w:val="00282145"/>
    <w:rsid w:val="002943AA"/>
    <w:rsid w:val="002B168D"/>
    <w:rsid w:val="002B24FA"/>
    <w:rsid w:val="002B62AC"/>
    <w:rsid w:val="002C1E17"/>
    <w:rsid w:val="002C604C"/>
    <w:rsid w:val="002E71B1"/>
    <w:rsid w:val="00322E11"/>
    <w:rsid w:val="003274C0"/>
    <w:rsid w:val="0035012E"/>
    <w:rsid w:val="0036205F"/>
    <w:rsid w:val="003A2109"/>
    <w:rsid w:val="003A56E3"/>
    <w:rsid w:val="003D042E"/>
    <w:rsid w:val="003D340C"/>
    <w:rsid w:val="003D51B9"/>
    <w:rsid w:val="003E09CA"/>
    <w:rsid w:val="003E7742"/>
    <w:rsid w:val="003F18DE"/>
    <w:rsid w:val="00421E96"/>
    <w:rsid w:val="00432A2B"/>
    <w:rsid w:val="00437106"/>
    <w:rsid w:val="004543AF"/>
    <w:rsid w:val="00481BAA"/>
    <w:rsid w:val="00485EF4"/>
    <w:rsid w:val="004B5697"/>
    <w:rsid w:val="004D53A5"/>
    <w:rsid w:val="005027A3"/>
    <w:rsid w:val="00507854"/>
    <w:rsid w:val="005401A1"/>
    <w:rsid w:val="00570362"/>
    <w:rsid w:val="005743C2"/>
    <w:rsid w:val="005B4EE7"/>
    <w:rsid w:val="005D3807"/>
    <w:rsid w:val="005E2B07"/>
    <w:rsid w:val="005F0DD7"/>
    <w:rsid w:val="006000BF"/>
    <w:rsid w:val="00602AE8"/>
    <w:rsid w:val="00630DB4"/>
    <w:rsid w:val="00646844"/>
    <w:rsid w:val="00654A90"/>
    <w:rsid w:val="006756C5"/>
    <w:rsid w:val="00676309"/>
    <w:rsid w:val="006A39C6"/>
    <w:rsid w:val="006C4827"/>
    <w:rsid w:val="006C4E21"/>
    <w:rsid w:val="006E522E"/>
    <w:rsid w:val="00726B78"/>
    <w:rsid w:val="007413CA"/>
    <w:rsid w:val="007414EE"/>
    <w:rsid w:val="00750D36"/>
    <w:rsid w:val="0075271D"/>
    <w:rsid w:val="00753062"/>
    <w:rsid w:val="00757B36"/>
    <w:rsid w:val="00771920"/>
    <w:rsid w:val="007B2046"/>
    <w:rsid w:val="007E1D01"/>
    <w:rsid w:val="008034B0"/>
    <w:rsid w:val="00805852"/>
    <w:rsid w:val="0081190E"/>
    <w:rsid w:val="00825ED0"/>
    <w:rsid w:val="008340E6"/>
    <w:rsid w:val="0084485A"/>
    <w:rsid w:val="00855501"/>
    <w:rsid w:val="008660D0"/>
    <w:rsid w:val="00883C22"/>
    <w:rsid w:val="0088406B"/>
    <w:rsid w:val="00885F85"/>
    <w:rsid w:val="008871BC"/>
    <w:rsid w:val="008B67C7"/>
    <w:rsid w:val="008B74CE"/>
    <w:rsid w:val="008C0D8E"/>
    <w:rsid w:val="008C45C4"/>
    <w:rsid w:val="008E399C"/>
    <w:rsid w:val="00904487"/>
    <w:rsid w:val="00931061"/>
    <w:rsid w:val="0094089A"/>
    <w:rsid w:val="00941136"/>
    <w:rsid w:val="00941F1E"/>
    <w:rsid w:val="00947775"/>
    <w:rsid w:val="00947930"/>
    <w:rsid w:val="00952A33"/>
    <w:rsid w:val="0098402E"/>
    <w:rsid w:val="00986C18"/>
    <w:rsid w:val="0099268F"/>
    <w:rsid w:val="00993D9D"/>
    <w:rsid w:val="00995326"/>
    <w:rsid w:val="009B7E32"/>
    <w:rsid w:val="009C15C1"/>
    <w:rsid w:val="009C26EA"/>
    <w:rsid w:val="009E51D8"/>
    <w:rsid w:val="009E6DA1"/>
    <w:rsid w:val="009F3AD4"/>
    <w:rsid w:val="009F74F8"/>
    <w:rsid w:val="00A31FF8"/>
    <w:rsid w:val="00A42294"/>
    <w:rsid w:val="00A4325F"/>
    <w:rsid w:val="00A75959"/>
    <w:rsid w:val="00AA7C16"/>
    <w:rsid w:val="00AC1BBE"/>
    <w:rsid w:val="00AC7CE2"/>
    <w:rsid w:val="00AD5706"/>
    <w:rsid w:val="00B1365C"/>
    <w:rsid w:val="00B35965"/>
    <w:rsid w:val="00B43215"/>
    <w:rsid w:val="00B67A21"/>
    <w:rsid w:val="00B733F8"/>
    <w:rsid w:val="00BA0A49"/>
    <w:rsid w:val="00BB12B4"/>
    <w:rsid w:val="00BB37EA"/>
    <w:rsid w:val="00BC757E"/>
    <w:rsid w:val="00BD3F79"/>
    <w:rsid w:val="00BE3479"/>
    <w:rsid w:val="00C05BCE"/>
    <w:rsid w:val="00C33AEF"/>
    <w:rsid w:val="00C544D4"/>
    <w:rsid w:val="00C66B78"/>
    <w:rsid w:val="00C7472D"/>
    <w:rsid w:val="00C767EA"/>
    <w:rsid w:val="00C86FA3"/>
    <w:rsid w:val="00CE2A70"/>
    <w:rsid w:val="00CE39CE"/>
    <w:rsid w:val="00CF6FCC"/>
    <w:rsid w:val="00CF7B71"/>
    <w:rsid w:val="00D0532C"/>
    <w:rsid w:val="00D0757C"/>
    <w:rsid w:val="00D07979"/>
    <w:rsid w:val="00D21FDA"/>
    <w:rsid w:val="00D31C69"/>
    <w:rsid w:val="00D513F9"/>
    <w:rsid w:val="00D66987"/>
    <w:rsid w:val="00D72722"/>
    <w:rsid w:val="00D96270"/>
    <w:rsid w:val="00DA637B"/>
    <w:rsid w:val="00DB26E9"/>
    <w:rsid w:val="00DE3FB5"/>
    <w:rsid w:val="00E405C6"/>
    <w:rsid w:val="00E473C5"/>
    <w:rsid w:val="00E55017"/>
    <w:rsid w:val="00EA75F4"/>
    <w:rsid w:val="00EB64F6"/>
    <w:rsid w:val="00F00677"/>
    <w:rsid w:val="00F265CE"/>
    <w:rsid w:val="00F33668"/>
    <w:rsid w:val="00F4365F"/>
    <w:rsid w:val="00F43721"/>
    <w:rsid w:val="00F553E5"/>
    <w:rsid w:val="00F60634"/>
    <w:rsid w:val="00F60C94"/>
    <w:rsid w:val="00F610CD"/>
    <w:rsid w:val="00F67058"/>
    <w:rsid w:val="00F927B0"/>
    <w:rsid w:val="00F93A52"/>
    <w:rsid w:val="00FB00B9"/>
    <w:rsid w:val="00FC4908"/>
    <w:rsid w:val="00FC622D"/>
    <w:rsid w:val="00FC63C1"/>
    <w:rsid w:val="00FE073B"/>
    <w:rsid w:val="00FE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F0E2"/>
  <w15:docId w15:val="{28058A2F-01E2-4F1E-AD27-B4D99FD4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09"/>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09"/>
    <w:pPr>
      <w:ind w:left="720"/>
      <w:contextualSpacing/>
    </w:pPr>
  </w:style>
  <w:style w:type="paragraph" w:styleId="Header">
    <w:name w:val="header"/>
    <w:basedOn w:val="Normal"/>
    <w:link w:val="HeaderChar"/>
    <w:uiPriority w:val="99"/>
    <w:unhideWhenUsed/>
    <w:rsid w:val="00676309"/>
    <w:pPr>
      <w:tabs>
        <w:tab w:val="center" w:pos="4680"/>
        <w:tab w:val="right" w:pos="9360"/>
      </w:tabs>
      <w:spacing w:line="240" w:lineRule="auto"/>
    </w:pPr>
  </w:style>
  <w:style w:type="character" w:customStyle="1" w:styleId="HeaderChar">
    <w:name w:val="Header Char"/>
    <w:basedOn w:val="DefaultParagraphFont"/>
    <w:link w:val="Header"/>
    <w:uiPriority w:val="99"/>
    <w:rsid w:val="00676309"/>
    <w:rPr>
      <w:rFonts w:ascii="Times New Roman" w:hAnsi="Times New Roman"/>
    </w:rPr>
  </w:style>
  <w:style w:type="paragraph" w:styleId="Footer">
    <w:name w:val="footer"/>
    <w:basedOn w:val="Normal"/>
    <w:link w:val="FooterChar"/>
    <w:uiPriority w:val="99"/>
    <w:unhideWhenUsed/>
    <w:rsid w:val="00676309"/>
    <w:pPr>
      <w:tabs>
        <w:tab w:val="center" w:pos="4680"/>
        <w:tab w:val="right" w:pos="9360"/>
      </w:tabs>
      <w:spacing w:line="240" w:lineRule="auto"/>
    </w:pPr>
  </w:style>
  <w:style w:type="character" w:customStyle="1" w:styleId="FooterChar">
    <w:name w:val="Footer Char"/>
    <w:basedOn w:val="DefaultParagraphFont"/>
    <w:link w:val="Footer"/>
    <w:uiPriority w:val="99"/>
    <w:rsid w:val="00676309"/>
    <w:rPr>
      <w:rFonts w:ascii="Times New Roman" w:hAnsi="Times New Roman"/>
    </w:rPr>
  </w:style>
  <w:style w:type="character" w:styleId="CommentReference">
    <w:name w:val="annotation reference"/>
    <w:basedOn w:val="DefaultParagraphFont"/>
    <w:uiPriority w:val="99"/>
    <w:semiHidden/>
    <w:unhideWhenUsed/>
    <w:rsid w:val="00676309"/>
    <w:rPr>
      <w:sz w:val="16"/>
      <w:szCs w:val="16"/>
    </w:rPr>
  </w:style>
  <w:style w:type="paragraph" w:styleId="CommentText">
    <w:name w:val="annotation text"/>
    <w:basedOn w:val="Normal"/>
    <w:link w:val="CommentTextChar"/>
    <w:uiPriority w:val="99"/>
    <w:semiHidden/>
    <w:unhideWhenUsed/>
    <w:rsid w:val="00676309"/>
    <w:pPr>
      <w:spacing w:line="240" w:lineRule="auto"/>
    </w:pPr>
    <w:rPr>
      <w:sz w:val="20"/>
      <w:szCs w:val="20"/>
    </w:rPr>
  </w:style>
  <w:style w:type="character" w:customStyle="1" w:styleId="CommentTextChar">
    <w:name w:val="Comment Text Char"/>
    <w:basedOn w:val="DefaultParagraphFont"/>
    <w:link w:val="CommentText"/>
    <w:uiPriority w:val="99"/>
    <w:semiHidden/>
    <w:rsid w:val="00676309"/>
    <w:rPr>
      <w:rFonts w:ascii="Times New Roman" w:hAnsi="Times New Roman"/>
      <w:sz w:val="20"/>
      <w:szCs w:val="20"/>
    </w:rPr>
  </w:style>
  <w:style w:type="paragraph" w:styleId="BalloonText">
    <w:name w:val="Balloon Text"/>
    <w:basedOn w:val="Normal"/>
    <w:link w:val="BalloonTextChar"/>
    <w:uiPriority w:val="99"/>
    <w:semiHidden/>
    <w:unhideWhenUsed/>
    <w:rsid w:val="00676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09"/>
    <w:rPr>
      <w:rFonts w:ascii="Segoe UI" w:hAnsi="Segoe UI" w:cs="Segoe UI"/>
      <w:sz w:val="18"/>
      <w:szCs w:val="18"/>
    </w:rPr>
  </w:style>
  <w:style w:type="character" w:styleId="Hyperlink">
    <w:name w:val="Hyperlink"/>
    <w:basedOn w:val="DefaultParagraphFont"/>
    <w:uiPriority w:val="99"/>
    <w:unhideWhenUsed/>
    <w:rsid w:val="00D21FDA"/>
    <w:rPr>
      <w:color w:val="0563C1" w:themeColor="hyperlink"/>
      <w:u w:val="single"/>
    </w:rPr>
  </w:style>
  <w:style w:type="paragraph" w:styleId="FootnoteText">
    <w:name w:val="footnote text"/>
    <w:basedOn w:val="Normal"/>
    <w:link w:val="FootnoteTextChar"/>
    <w:uiPriority w:val="99"/>
    <w:semiHidden/>
    <w:unhideWhenUsed/>
    <w:rsid w:val="00421E96"/>
    <w:pPr>
      <w:spacing w:line="240" w:lineRule="auto"/>
    </w:pPr>
    <w:rPr>
      <w:sz w:val="20"/>
      <w:szCs w:val="20"/>
    </w:rPr>
  </w:style>
  <w:style w:type="character" w:customStyle="1" w:styleId="FootnoteTextChar">
    <w:name w:val="Footnote Text Char"/>
    <w:basedOn w:val="DefaultParagraphFont"/>
    <w:link w:val="FootnoteText"/>
    <w:uiPriority w:val="99"/>
    <w:semiHidden/>
    <w:rsid w:val="00421E96"/>
    <w:rPr>
      <w:rFonts w:ascii="Times New Roman" w:hAnsi="Times New Roman"/>
      <w:sz w:val="20"/>
      <w:szCs w:val="20"/>
    </w:rPr>
  </w:style>
  <w:style w:type="character" w:styleId="FootnoteReference">
    <w:name w:val="footnote reference"/>
    <w:basedOn w:val="DefaultParagraphFont"/>
    <w:uiPriority w:val="99"/>
    <w:semiHidden/>
    <w:unhideWhenUsed/>
    <w:rsid w:val="00421E96"/>
    <w:rPr>
      <w:vertAlign w:val="superscript"/>
    </w:rPr>
  </w:style>
  <w:style w:type="paragraph" w:styleId="CommentSubject">
    <w:name w:val="annotation subject"/>
    <w:basedOn w:val="CommentText"/>
    <w:next w:val="CommentText"/>
    <w:link w:val="CommentSubjectChar"/>
    <w:uiPriority w:val="99"/>
    <w:semiHidden/>
    <w:unhideWhenUsed/>
    <w:rsid w:val="00E473C5"/>
    <w:rPr>
      <w:b/>
      <w:bCs/>
    </w:rPr>
  </w:style>
  <w:style w:type="character" w:customStyle="1" w:styleId="CommentSubjectChar">
    <w:name w:val="Comment Subject Char"/>
    <w:basedOn w:val="CommentTextChar"/>
    <w:link w:val="CommentSubject"/>
    <w:uiPriority w:val="99"/>
    <w:semiHidden/>
    <w:rsid w:val="00E473C5"/>
    <w:rPr>
      <w:rFonts w:ascii="Times New Roman" w:hAnsi="Times New Roman"/>
      <w:b/>
      <w:bCs/>
      <w:sz w:val="20"/>
      <w:szCs w:val="20"/>
    </w:rPr>
  </w:style>
  <w:style w:type="paragraph" w:styleId="ListBullet">
    <w:name w:val="List Bullet"/>
    <w:basedOn w:val="Normal"/>
    <w:uiPriority w:val="99"/>
    <w:unhideWhenUsed/>
    <w:rsid w:val="00067AF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MA-FI-Appeals@fem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ADB3F-3C93-4D75-BE32-D14E81817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44445C-548C-4E7B-96BB-890E0ABA36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DA0D2-CEED-4770-AA2A-CD48FD2894B6}">
  <ds:schemaRefs>
    <ds:schemaRef ds:uri="http://schemas.openxmlformats.org/officeDocument/2006/bibliography"/>
  </ds:schemaRefs>
</ds:datastoreItem>
</file>

<file path=customXml/itemProps4.xml><?xml version="1.0" encoding="utf-8"?>
<ds:datastoreItem xmlns:ds="http://schemas.openxmlformats.org/officeDocument/2006/customXml" ds:itemID="{06E43982-06E0-46C4-BA54-EC61BDA6A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 Keith</dc:creator>
  <cp:lastModifiedBy>Crandol, Jonnese</cp:lastModifiedBy>
  <cp:revision>2</cp:revision>
  <dcterms:created xsi:type="dcterms:W3CDTF">2021-12-03T20:54:00Z</dcterms:created>
  <dcterms:modified xsi:type="dcterms:W3CDTF">2021-12-03T20:54:00Z</dcterms:modified>
</cp:coreProperties>
</file>