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DA6B4" w14:textId="38EAFEE8" w:rsidR="006000BF" w:rsidRDefault="006000BF" w:rsidP="006000BF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41EEE9" wp14:editId="38408CA1">
            <wp:simplePos x="0" y="0"/>
            <wp:positionH relativeFrom="page">
              <wp:posOffset>5257800</wp:posOffset>
            </wp:positionH>
            <wp:positionV relativeFrom="paragraph">
              <wp:posOffset>-409575</wp:posOffset>
            </wp:positionV>
            <wp:extent cx="1877060" cy="685165"/>
            <wp:effectExtent l="0" t="0" r="889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49FA35" w14:textId="77777777" w:rsidR="006000BF" w:rsidRDefault="006000BF" w:rsidP="006000BF">
      <w:pPr>
        <w:rPr>
          <w:b/>
        </w:rPr>
      </w:pPr>
    </w:p>
    <w:p w14:paraId="1F5FC1A6" w14:textId="77777777" w:rsidR="006000BF" w:rsidRDefault="006000BF" w:rsidP="006000BF">
      <w:pPr>
        <w:rPr>
          <w:b/>
        </w:rPr>
      </w:pPr>
    </w:p>
    <w:p w14:paraId="6F66A2C8" w14:textId="77777777" w:rsidR="00676309" w:rsidRPr="008660D0" w:rsidRDefault="00676309" w:rsidP="006000BF">
      <w:pPr>
        <w:rPr>
          <w:b/>
          <w:sz w:val="28"/>
        </w:rPr>
      </w:pPr>
      <w:r w:rsidRPr="008660D0">
        <w:rPr>
          <w:b/>
          <w:sz w:val="28"/>
        </w:rPr>
        <w:t>FEDERAL EMERGENCY MANAGEMENT AGENCY (FEMA)</w:t>
      </w:r>
    </w:p>
    <w:p w14:paraId="722E5D41" w14:textId="77777777" w:rsidR="00676309" w:rsidRPr="008660D0" w:rsidRDefault="00676309" w:rsidP="006000BF">
      <w:pPr>
        <w:rPr>
          <w:b/>
          <w:sz w:val="28"/>
        </w:rPr>
      </w:pPr>
      <w:r w:rsidRPr="008660D0">
        <w:rPr>
          <w:b/>
          <w:sz w:val="28"/>
        </w:rPr>
        <w:t>FEDERAL INSURANCE MITIGATION ADMINISTRATION (FIMA)</w:t>
      </w:r>
    </w:p>
    <w:p w14:paraId="15F64B16" w14:textId="64EE4544" w:rsidR="00676309" w:rsidRPr="008660D0" w:rsidRDefault="00726B78" w:rsidP="006000BF">
      <w:pPr>
        <w:rPr>
          <w:b/>
          <w:sz w:val="28"/>
          <w:u w:val="single"/>
        </w:rPr>
      </w:pPr>
      <w:r w:rsidRPr="008660D0">
        <w:rPr>
          <w:b/>
          <w:sz w:val="28"/>
          <w:u w:val="single"/>
        </w:rPr>
        <w:t>APPEAL DECISION</w:t>
      </w:r>
    </w:p>
    <w:p w14:paraId="72A4E757" w14:textId="77777777" w:rsidR="006000BF" w:rsidRPr="008660D0" w:rsidRDefault="006000BF" w:rsidP="006000BF">
      <w:pPr>
        <w:rPr>
          <w:sz w:val="24"/>
        </w:rPr>
      </w:pPr>
    </w:p>
    <w:p w14:paraId="5793FE42" w14:textId="6FFD9A36" w:rsidR="00676309" w:rsidRPr="00A02AA5" w:rsidRDefault="006000BF" w:rsidP="006000BF">
      <w:pPr>
        <w:rPr>
          <w:i/>
          <w:sz w:val="24"/>
        </w:rPr>
      </w:pPr>
      <w:r w:rsidRPr="008660D0">
        <w:rPr>
          <w:i/>
          <w:sz w:val="24"/>
        </w:rPr>
        <w:t xml:space="preserve">FEMA Flood Insurance Appeal Decision </w:t>
      </w:r>
      <w:r w:rsidR="00BA37F2">
        <w:rPr>
          <w:i/>
          <w:sz w:val="24"/>
        </w:rPr>
        <w:t>#</w:t>
      </w:r>
      <w:r w:rsidR="00A02AA5">
        <w:rPr>
          <w:i/>
          <w:sz w:val="24"/>
        </w:rPr>
        <w:t>A7</w:t>
      </w:r>
    </w:p>
    <w:p w14:paraId="5AE492B5" w14:textId="52784013" w:rsidR="00676309" w:rsidRDefault="00676309" w:rsidP="00A92DE0"/>
    <w:p w14:paraId="6A3EFA02" w14:textId="77777777" w:rsidR="00BD6207" w:rsidRPr="00341C31" w:rsidRDefault="00BD6207" w:rsidP="00A92DE0"/>
    <w:p w14:paraId="30208BAF" w14:textId="4FEE2590" w:rsidR="00BD6207" w:rsidRPr="00341C31" w:rsidRDefault="00BD6207" w:rsidP="00BD6207">
      <w:pPr>
        <w:rPr>
          <w:rFonts w:ascii="Franklin Gothic Demi" w:hAnsi="Franklin Gothic Demi"/>
          <w:color w:val="002060"/>
          <w:sz w:val="28"/>
        </w:rPr>
      </w:pPr>
      <w:r>
        <w:rPr>
          <w:rFonts w:ascii="Franklin Gothic Demi" w:hAnsi="Franklin Gothic Demi"/>
          <w:color w:val="002060"/>
          <w:sz w:val="28"/>
        </w:rPr>
        <w:t>OVERVIEW</w:t>
      </w:r>
    </w:p>
    <w:p w14:paraId="39360884" w14:textId="5B8683B9" w:rsidR="006000BF" w:rsidRPr="00BD6207" w:rsidRDefault="00BD6207" w:rsidP="006000BF">
      <w:r w:rsidRPr="00341C31">
        <w:rPr>
          <w:rFonts w:ascii="Franklin Gothic Demi" w:hAnsi="Franklin Gothic Demi"/>
          <w:noProof/>
          <w:color w:val="002060"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52D4F1" wp14:editId="2CBFF77F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5943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F0A65" id="Straight Connector 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75pt" to="468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" strokecolor="#002060">
                <v:stroke joinstyle="miter"/>
              </v:line>
            </w:pict>
          </mc:Fallback>
        </mc:AlternateContent>
      </w:r>
    </w:p>
    <w:p w14:paraId="4B5B185E" w14:textId="592163B8" w:rsidR="00F60634" w:rsidRPr="0061746C" w:rsidRDefault="00F60634" w:rsidP="00332A68">
      <w:pPr>
        <w:spacing w:before="32" w:line="240" w:lineRule="auto"/>
        <w:rPr>
          <w:rFonts w:eastAsia="Times New Roman" w:cs="Times New Roman"/>
        </w:rPr>
      </w:pPr>
      <w:r w:rsidRPr="0061746C">
        <w:rPr>
          <w:rFonts w:eastAsia="Times New Roman" w:cs="Times New Roman"/>
        </w:rPr>
        <w:t xml:space="preserve">The policyholder </w:t>
      </w:r>
      <w:r w:rsidR="00332A68" w:rsidRPr="0061746C">
        <w:rPr>
          <w:rFonts w:eastAsia="Times New Roman" w:cs="Times New Roman"/>
        </w:rPr>
        <w:t xml:space="preserve">filed an appeal </w:t>
      </w:r>
      <w:r w:rsidR="00A02AA5">
        <w:rPr>
          <w:rFonts w:eastAsia="Times New Roman" w:cs="Times New Roman"/>
        </w:rPr>
        <w:t>in</w:t>
      </w:r>
      <w:r w:rsidR="00332A68" w:rsidRPr="0061746C">
        <w:rPr>
          <w:rFonts w:eastAsia="Times New Roman" w:cs="Times New Roman"/>
        </w:rPr>
        <w:t xml:space="preserve"> </w:t>
      </w:r>
      <w:r w:rsidR="0008542C" w:rsidRPr="0061746C">
        <w:rPr>
          <w:rFonts w:eastAsia="Times New Roman" w:cs="Times New Roman"/>
        </w:rPr>
        <w:t>September 2020</w:t>
      </w:r>
      <w:r w:rsidR="00D54004" w:rsidRPr="0061746C">
        <w:rPr>
          <w:rFonts w:eastAsia="Times New Roman" w:cs="Times New Roman"/>
        </w:rPr>
        <w:t>,</w:t>
      </w:r>
      <w:r w:rsidR="00332A68" w:rsidRPr="0061746C">
        <w:rPr>
          <w:rFonts w:eastAsia="Times New Roman" w:cs="Times New Roman"/>
        </w:rPr>
        <w:t xml:space="preserve"> alleging </w:t>
      </w:r>
      <w:r w:rsidR="00C025CC" w:rsidRPr="0061746C">
        <w:rPr>
          <w:rFonts w:eastAsia="Times New Roman" w:cs="Times New Roman"/>
        </w:rPr>
        <w:t>her</w:t>
      </w:r>
      <w:r w:rsidRPr="0061746C">
        <w:rPr>
          <w:rFonts w:eastAsia="Times New Roman" w:cs="Times New Roman"/>
        </w:rPr>
        <w:t xml:space="preserve"> flood insurance carrier (hereinafter “insurer”) </w:t>
      </w:r>
      <w:r w:rsidR="00332A68" w:rsidRPr="0061746C">
        <w:rPr>
          <w:rFonts w:eastAsia="Times New Roman" w:cs="Times New Roman"/>
        </w:rPr>
        <w:t xml:space="preserve">improperly denied </w:t>
      </w:r>
      <w:r w:rsidR="00C025CC" w:rsidRPr="0061746C">
        <w:rPr>
          <w:rFonts w:eastAsia="Times New Roman" w:cs="Times New Roman"/>
        </w:rPr>
        <w:t>her</w:t>
      </w:r>
      <w:r w:rsidR="00BD6207" w:rsidRPr="0061746C">
        <w:rPr>
          <w:rFonts w:eastAsia="Times New Roman" w:cs="Times New Roman"/>
        </w:rPr>
        <w:t xml:space="preserve"> </w:t>
      </w:r>
      <w:r w:rsidRPr="0061746C">
        <w:rPr>
          <w:rFonts w:eastAsia="Times New Roman" w:cs="Times New Roman"/>
        </w:rPr>
        <w:t>claim under the</w:t>
      </w:r>
      <w:r w:rsidR="00A550AF" w:rsidRPr="0061746C">
        <w:rPr>
          <w:rFonts w:eastAsia="Times New Roman" w:cs="Times New Roman"/>
        </w:rPr>
        <w:t xml:space="preserve"> </w:t>
      </w:r>
      <w:r w:rsidRPr="0061746C">
        <w:rPr>
          <w:rFonts w:eastAsia="Times New Roman" w:cs="Times New Roman"/>
        </w:rPr>
        <w:t>Standard Flood Insurance Policy (SFIP)</w:t>
      </w:r>
      <w:r w:rsidRPr="0061746C">
        <w:rPr>
          <w:rStyle w:val="FootnoteReference"/>
          <w:rFonts w:eastAsia="Times New Roman" w:cs="Times New Roman"/>
        </w:rPr>
        <w:footnoteReference w:id="1"/>
      </w:r>
      <w:r w:rsidRPr="0061746C">
        <w:rPr>
          <w:rFonts w:eastAsia="Times New Roman" w:cs="Times New Roman"/>
          <w:position w:val="8"/>
        </w:rPr>
        <w:t xml:space="preserve"> </w:t>
      </w:r>
      <w:r w:rsidRPr="0061746C">
        <w:rPr>
          <w:rFonts w:eastAsia="Times New Roman" w:cs="Times New Roman"/>
        </w:rPr>
        <w:t xml:space="preserve">for damages to </w:t>
      </w:r>
      <w:r w:rsidR="00332A68" w:rsidRPr="0061746C">
        <w:rPr>
          <w:rFonts w:eastAsia="Times New Roman" w:cs="Times New Roman"/>
        </w:rPr>
        <w:t xml:space="preserve">covered </w:t>
      </w:r>
      <w:r w:rsidRPr="0061746C">
        <w:rPr>
          <w:rFonts w:eastAsia="Times New Roman" w:cs="Times New Roman"/>
        </w:rPr>
        <w:t xml:space="preserve">property arising </w:t>
      </w:r>
      <w:r w:rsidR="008B7A26" w:rsidRPr="0061746C">
        <w:rPr>
          <w:rFonts w:eastAsia="Times New Roman" w:cs="Times New Roman"/>
        </w:rPr>
        <w:t xml:space="preserve">from a </w:t>
      </w:r>
      <w:r w:rsidR="00FB2494" w:rsidRPr="0061746C">
        <w:rPr>
          <w:rFonts w:eastAsia="Times New Roman" w:cs="Times New Roman"/>
        </w:rPr>
        <w:t>claimed loss event</w:t>
      </w:r>
      <w:r w:rsidR="008B7A26" w:rsidRPr="0061746C">
        <w:rPr>
          <w:rFonts w:eastAsia="Times New Roman" w:cs="Times New Roman"/>
        </w:rPr>
        <w:t xml:space="preserve"> </w:t>
      </w:r>
      <w:r w:rsidR="00A02AA5">
        <w:rPr>
          <w:rFonts w:eastAsia="Times New Roman" w:cs="Times New Roman"/>
        </w:rPr>
        <w:t xml:space="preserve">in </w:t>
      </w:r>
      <w:r w:rsidR="0008542C" w:rsidRPr="0061746C">
        <w:rPr>
          <w:rFonts w:eastAsia="Times New Roman" w:cs="Times New Roman"/>
        </w:rPr>
        <w:t>July 2020</w:t>
      </w:r>
      <w:r w:rsidRPr="0061746C">
        <w:rPr>
          <w:rFonts w:eastAsia="Times New Roman" w:cs="Times New Roman"/>
        </w:rPr>
        <w:t>.</w:t>
      </w:r>
      <w:r w:rsidRPr="0061746C">
        <w:rPr>
          <w:rStyle w:val="FootnoteReference"/>
          <w:rFonts w:eastAsia="Times New Roman" w:cs="Times New Roman"/>
        </w:rPr>
        <w:footnoteReference w:id="2"/>
      </w:r>
    </w:p>
    <w:p w14:paraId="00C2ABAA" w14:textId="33C3876B" w:rsidR="00F60634" w:rsidRPr="0061746C" w:rsidRDefault="00F60634" w:rsidP="006000BF">
      <w:pPr>
        <w:spacing w:before="10" w:line="240" w:lineRule="exact"/>
        <w:rPr>
          <w:rFonts w:cs="Times New Roman"/>
        </w:rPr>
      </w:pPr>
    </w:p>
    <w:p w14:paraId="319E3BED" w14:textId="576ABD57" w:rsidR="005D3807" w:rsidRPr="0061746C" w:rsidRDefault="00332A68" w:rsidP="006000BF">
      <w:pPr>
        <w:spacing w:line="239" w:lineRule="auto"/>
        <w:rPr>
          <w:rFonts w:cs="Times New Roman"/>
        </w:rPr>
      </w:pPr>
      <w:r w:rsidRPr="0061746C">
        <w:rPr>
          <w:rFonts w:cs="Times New Roman"/>
        </w:rPr>
        <w:t>In its review, FEMA found the following facts relevant:</w:t>
      </w:r>
    </w:p>
    <w:p w14:paraId="34EEA0D3" w14:textId="77777777" w:rsidR="0008542C" w:rsidRPr="0061746C" w:rsidRDefault="0008542C" w:rsidP="006000BF">
      <w:pPr>
        <w:spacing w:line="239" w:lineRule="auto"/>
        <w:rPr>
          <w:rFonts w:cs="Times New Roman"/>
        </w:rPr>
      </w:pPr>
    </w:p>
    <w:p w14:paraId="3903A976" w14:textId="083069C9" w:rsidR="00332A68" w:rsidRPr="0061746C" w:rsidRDefault="0069681B" w:rsidP="00332A68">
      <w:pPr>
        <w:pStyle w:val="ListParagraph"/>
        <w:numPr>
          <w:ilvl w:val="0"/>
          <w:numId w:val="10"/>
        </w:numPr>
        <w:spacing w:line="239" w:lineRule="auto"/>
        <w:rPr>
          <w:rFonts w:eastAsia="Times New Roman" w:cs="Times New Roman"/>
        </w:rPr>
      </w:pPr>
      <w:r w:rsidRPr="0061746C">
        <w:rPr>
          <w:rFonts w:eastAsia="Times New Roman" w:cs="Times New Roman"/>
        </w:rPr>
        <w:t xml:space="preserve">At the time of loss, the policyholder had </w:t>
      </w:r>
      <w:r w:rsidR="0056030A" w:rsidRPr="0061746C">
        <w:rPr>
          <w:rFonts w:eastAsia="Times New Roman" w:cs="Times New Roman"/>
        </w:rPr>
        <w:t>$250,000</w:t>
      </w:r>
      <w:r w:rsidR="00332A68" w:rsidRPr="0061746C">
        <w:rPr>
          <w:rFonts w:eastAsia="Times New Roman" w:cs="Times New Roman"/>
        </w:rPr>
        <w:t xml:space="preserve"> </w:t>
      </w:r>
      <w:r w:rsidR="00D27C7F" w:rsidRPr="0061746C">
        <w:rPr>
          <w:rFonts w:eastAsia="Times New Roman" w:cs="Times New Roman"/>
        </w:rPr>
        <w:t>of</w:t>
      </w:r>
      <w:r w:rsidR="00332A68" w:rsidRPr="0061746C">
        <w:rPr>
          <w:rFonts w:eastAsia="Times New Roman" w:cs="Times New Roman"/>
        </w:rPr>
        <w:t xml:space="preserve"> building coverage</w:t>
      </w:r>
      <w:r w:rsidR="0056030A" w:rsidRPr="0061746C">
        <w:rPr>
          <w:rFonts w:eastAsia="Times New Roman" w:cs="Times New Roman"/>
        </w:rPr>
        <w:t xml:space="preserve"> and $100,000</w:t>
      </w:r>
      <w:r w:rsidR="00332A68" w:rsidRPr="0061746C">
        <w:rPr>
          <w:rFonts w:eastAsia="Times New Roman" w:cs="Times New Roman"/>
        </w:rPr>
        <w:t xml:space="preserve"> </w:t>
      </w:r>
      <w:r w:rsidR="00D27C7F" w:rsidRPr="0061746C">
        <w:rPr>
          <w:rFonts w:eastAsia="Times New Roman" w:cs="Times New Roman"/>
        </w:rPr>
        <w:t>of</w:t>
      </w:r>
      <w:r w:rsidR="00EC2D27" w:rsidRPr="0061746C">
        <w:rPr>
          <w:rFonts w:eastAsia="Times New Roman" w:cs="Times New Roman"/>
        </w:rPr>
        <w:t xml:space="preserve"> </w:t>
      </w:r>
      <w:r w:rsidR="00332A68" w:rsidRPr="0061746C">
        <w:rPr>
          <w:rFonts w:eastAsia="Times New Roman" w:cs="Times New Roman"/>
        </w:rPr>
        <w:t xml:space="preserve">personal property coverage. </w:t>
      </w:r>
    </w:p>
    <w:p w14:paraId="78186454" w14:textId="5DCDC461" w:rsidR="008B7A26" w:rsidRPr="0061746C" w:rsidRDefault="0056030A" w:rsidP="008B7A26">
      <w:pPr>
        <w:pStyle w:val="ListParagraph"/>
        <w:numPr>
          <w:ilvl w:val="0"/>
          <w:numId w:val="10"/>
        </w:numPr>
        <w:spacing w:line="239" w:lineRule="auto"/>
        <w:rPr>
          <w:rFonts w:eastAsia="Times New Roman" w:cs="Times New Roman"/>
        </w:rPr>
      </w:pPr>
      <w:r w:rsidRPr="0061746C">
        <w:rPr>
          <w:rFonts w:eastAsia="Times New Roman" w:cs="Times New Roman"/>
        </w:rPr>
        <w:t xml:space="preserve">The policyholder </w:t>
      </w:r>
      <w:r w:rsidR="00520F3D" w:rsidRPr="0061746C">
        <w:rPr>
          <w:rFonts w:eastAsia="Times New Roman" w:cs="Times New Roman"/>
        </w:rPr>
        <w:t xml:space="preserve">filed a </w:t>
      </w:r>
      <w:r w:rsidRPr="0061746C">
        <w:rPr>
          <w:rFonts w:eastAsia="Times New Roman" w:cs="Times New Roman"/>
        </w:rPr>
        <w:t xml:space="preserve">claim </w:t>
      </w:r>
      <w:r w:rsidR="00520F3D" w:rsidRPr="0061746C">
        <w:rPr>
          <w:rFonts w:eastAsia="Times New Roman" w:cs="Times New Roman"/>
        </w:rPr>
        <w:t xml:space="preserve">with </w:t>
      </w:r>
      <w:r w:rsidRPr="0061746C">
        <w:rPr>
          <w:rFonts w:eastAsia="Times New Roman" w:cs="Times New Roman"/>
        </w:rPr>
        <w:t>the insurer</w:t>
      </w:r>
      <w:r w:rsidR="00520F3D" w:rsidRPr="0061746C">
        <w:rPr>
          <w:rFonts w:eastAsia="Times New Roman" w:cs="Times New Roman"/>
        </w:rPr>
        <w:t xml:space="preserve"> and the insurer </w:t>
      </w:r>
      <w:r w:rsidRPr="0061746C">
        <w:rPr>
          <w:rFonts w:eastAsia="Times New Roman" w:cs="Times New Roman"/>
        </w:rPr>
        <w:t>assigned an adjuster to inspect the property.</w:t>
      </w:r>
    </w:p>
    <w:p w14:paraId="507F2049" w14:textId="35EE86A8" w:rsidR="00C44C1D" w:rsidRPr="0061746C" w:rsidRDefault="00A02AA5">
      <w:pPr>
        <w:pStyle w:val="ListParagraph"/>
        <w:numPr>
          <w:ilvl w:val="0"/>
          <w:numId w:val="10"/>
        </w:numPr>
        <w:spacing w:line="239" w:lineRule="auto"/>
        <w:rPr>
          <w:rFonts w:eastAsia="Times New Roman" w:cs="Times New Roman"/>
        </w:rPr>
      </w:pPr>
      <w:r>
        <w:rPr>
          <w:rFonts w:eastAsia="Times New Roman" w:cs="Times New Roman"/>
        </w:rPr>
        <w:t>In</w:t>
      </w:r>
      <w:r w:rsidR="00D27C7F" w:rsidRPr="0061746C">
        <w:rPr>
          <w:rFonts w:eastAsia="Times New Roman" w:cs="Times New Roman"/>
        </w:rPr>
        <w:t xml:space="preserve"> July 2020, t</w:t>
      </w:r>
      <w:r w:rsidR="00520F3D" w:rsidRPr="0061746C">
        <w:rPr>
          <w:rFonts w:eastAsia="Times New Roman" w:cs="Times New Roman"/>
        </w:rPr>
        <w:t xml:space="preserve">he adjuster inspected the property and </w:t>
      </w:r>
      <w:r w:rsidR="0056030A" w:rsidRPr="0061746C">
        <w:rPr>
          <w:rFonts w:eastAsia="Times New Roman" w:cs="Times New Roman"/>
        </w:rPr>
        <w:t xml:space="preserve">found no waterlines to the interior or exterior of the </w:t>
      </w:r>
      <w:r w:rsidR="00D27C7F" w:rsidRPr="0061746C">
        <w:rPr>
          <w:rFonts w:eastAsia="Times New Roman" w:cs="Times New Roman"/>
        </w:rPr>
        <w:t>building</w:t>
      </w:r>
      <w:r w:rsidR="0056030A" w:rsidRPr="0061746C">
        <w:rPr>
          <w:rFonts w:eastAsia="Times New Roman" w:cs="Times New Roman"/>
        </w:rPr>
        <w:t xml:space="preserve">. The policyholder provided </w:t>
      </w:r>
      <w:r w:rsidR="00D27C7F" w:rsidRPr="0061746C">
        <w:rPr>
          <w:rFonts w:eastAsia="Times New Roman" w:cs="Times New Roman"/>
        </w:rPr>
        <w:t xml:space="preserve">the adjuster </w:t>
      </w:r>
      <w:r w:rsidR="0056030A" w:rsidRPr="0061746C">
        <w:rPr>
          <w:rFonts w:eastAsia="Times New Roman" w:cs="Times New Roman"/>
        </w:rPr>
        <w:t>photo</w:t>
      </w:r>
      <w:r w:rsidR="00D27C7F" w:rsidRPr="0061746C">
        <w:rPr>
          <w:rFonts w:eastAsia="Times New Roman" w:cs="Times New Roman"/>
        </w:rPr>
        <w:t>graph</w:t>
      </w:r>
      <w:r w:rsidR="0056030A" w:rsidRPr="0061746C">
        <w:rPr>
          <w:rFonts w:eastAsia="Times New Roman" w:cs="Times New Roman"/>
        </w:rPr>
        <w:t xml:space="preserve">s of street </w:t>
      </w:r>
      <w:r w:rsidR="00D27C7F" w:rsidRPr="0061746C">
        <w:rPr>
          <w:rFonts w:eastAsia="Times New Roman" w:cs="Times New Roman"/>
        </w:rPr>
        <w:t xml:space="preserve">and sidewalk </w:t>
      </w:r>
      <w:r w:rsidR="00CA56DC" w:rsidRPr="0061746C">
        <w:rPr>
          <w:rFonts w:eastAsia="Times New Roman" w:cs="Times New Roman"/>
        </w:rPr>
        <w:t>flooding</w:t>
      </w:r>
      <w:r w:rsidR="00D27C7F" w:rsidRPr="0061746C">
        <w:rPr>
          <w:rFonts w:eastAsia="Times New Roman" w:cs="Times New Roman"/>
        </w:rPr>
        <w:t xml:space="preserve"> in the front of the insured building.</w:t>
      </w:r>
      <w:r w:rsidR="0056030A" w:rsidRPr="0061746C">
        <w:rPr>
          <w:rFonts w:eastAsia="Times New Roman" w:cs="Times New Roman"/>
        </w:rPr>
        <w:t xml:space="preserve"> </w:t>
      </w:r>
      <w:r w:rsidR="00D27C7F" w:rsidRPr="0061746C">
        <w:rPr>
          <w:rFonts w:eastAsia="Times New Roman" w:cs="Times New Roman"/>
        </w:rPr>
        <w:t>T</w:t>
      </w:r>
      <w:r w:rsidR="0056030A" w:rsidRPr="0061746C">
        <w:rPr>
          <w:rFonts w:eastAsia="Times New Roman" w:cs="Times New Roman"/>
        </w:rPr>
        <w:t xml:space="preserve">he adjuster noted the </w:t>
      </w:r>
      <w:r w:rsidR="00D27C7F" w:rsidRPr="0061746C">
        <w:rPr>
          <w:rFonts w:eastAsia="Times New Roman" w:cs="Times New Roman"/>
        </w:rPr>
        <w:t>building</w:t>
      </w:r>
      <w:r w:rsidR="0056030A" w:rsidRPr="0061746C">
        <w:rPr>
          <w:rFonts w:eastAsia="Times New Roman" w:cs="Times New Roman"/>
        </w:rPr>
        <w:t xml:space="preserve"> is five feet above street level. </w:t>
      </w:r>
    </w:p>
    <w:p w14:paraId="4ED3F9E6" w14:textId="586DACB7" w:rsidR="00332A68" w:rsidRPr="0061746C" w:rsidRDefault="00C44C1D" w:rsidP="00A47EC3">
      <w:pPr>
        <w:pStyle w:val="ListParagraph"/>
        <w:numPr>
          <w:ilvl w:val="0"/>
          <w:numId w:val="10"/>
        </w:numPr>
        <w:spacing w:line="239" w:lineRule="auto"/>
        <w:rPr>
          <w:rFonts w:eastAsia="Times New Roman" w:cs="Times New Roman"/>
        </w:rPr>
      </w:pPr>
      <w:r w:rsidRPr="0061746C">
        <w:rPr>
          <w:rFonts w:eastAsia="Times New Roman" w:cs="Times New Roman"/>
        </w:rPr>
        <w:t>The adjuster determined t</w:t>
      </w:r>
      <w:r w:rsidR="0056030A" w:rsidRPr="0061746C">
        <w:rPr>
          <w:rFonts w:eastAsia="Times New Roman" w:cs="Times New Roman"/>
        </w:rPr>
        <w:t xml:space="preserve">he source of the water damage </w:t>
      </w:r>
      <w:r w:rsidR="00D27C7F" w:rsidRPr="0061746C">
        <w:rPr>
          <w:rFonts w:eastAsia="Times New Roman" w:cs="Times New Roman"/>
        </w:rPr>
        <w:t>was</w:t>
      </w:r>
      <w:r w:rsidR="0056030A" w:rsidRPr="0061746C">
        <w:rPr>
          <w:rFonts w:eastAsia="Times New Roman" w:cs="Times New Roman"/>
        </w:rPr>
        <w:t xml:space="preserve"> from seepage when rain ponded against a small area of the slab.</w:t>
      </w:r>
      <w:r w:rsidR="00E860C9" w:rsidRPr="0061746C">
        <w:rPr>
          <w:rFonts w:eastAsia="Times New Roman" w:cs="Times New Roman"/>
        </w:rPr>
        <w:t xml:space="preserve"> </w:t>
      </w:r>
      <w:r w:rsidR="0056030A" w:rsidRPr="0061746C">
        <w:rPr>
          <w:rFonts w:eastAsia="Times New Roman" w:cs="Times New Roman"/>
        </w:rPr>
        <w:t xml:space="preserve">The adjuster </w:t>
      </w:r>
      <w:r w:rsidR="00E860C9" w:rsidRPr="0061746C">
        <w:rPr>
          <w:rFonts w:eastAsia="Times New Roman" w:cs="Times New Roman"/>
        </w:rPr>
        <w:t xml:space="preserve">did not speak to the owners of </w:t>
      </w:r>
      <w:r w:rsidR="00221901" w:rsidRPr="0061746C">
        <w:rPr>
          <w:rFonts w:eastAsia="Times New Roman" w:cs="Times New Roman"/>
        </w:rPr>
        <w:t>neighboring</w:t>
      </w:r>
      <w:r w:rsidR="00E860C9" w:rsidRPr="0061746C">
        <w:rPr>
          <w:rFonts w:eastAsia="Times New Roman" w:cs="Times New Roman"/>
        </w:rPr>
        <w:t xml:space="preserve"> properties, but he</w:t>
      </w:r>
      <w:r w:rsidR="0056030A" w:rsidRPr="0061746C">
        <w:rPr>
          <w:rFonts w:eastAsia="Times New Roman" w:cs="Times New Roman"/>
        </w:rPr>
        <w:t xml:space="preserve"> </w:t>
      </w:r>
      <w:r w:rsidR="00D27C7F" w:rsidRPr="0061746C">
        <w:rPr>
          <w:rFonts w:eastAsia="Times New Roman" w:cs="Times New Roman"/>
        </w:rPr>
        <w:t>submitted</w:t>
      </w:r>
      <w:r w:rsidR="0056030A" w:rsidRPr="0061746C">
        <w:rPr>
          <w:rFonts w:eastAsia="Times New Roman" w:cs="Times New Roman"/>
        </w:rPr>
        <w:t xml:space="preserve"> photo</w:t>
      </w:r>
      <w:r w:rsidR="00D27C7F" w:rsidRPr="0061746C">
        <w:rPr>
          <w:rFonts w:eastAsia="Times New Roman" w:cs="Times New Roman"/>
        </w:rPr>
        <w:t>graphs</w:t>
      </w:r>
      <w:r w:rsidR="0056030A" w:rsidRPr="0061746C">
        <w:rPr>
          <w:rFonts w:eastAsia="Times New Roman" w:cs="Times New Roman"/>
        </w:rPr>
        <w:t xml:space="preserve"> showing no debris and damage to neighboring properties.</w:t>
      </w:r>
    </w:p>
    <w:p w14:paraId="2DD5EA5A" w14:textId="1038DE37" w:rsidR="003E2990" w:rsidRPr="0061746C" w:rsidRDefault="0056030A" w:rsidP="00332A68">
      <w:pPr>
        <w:pStyle w:val="ListParagraph"/>
        <w:numPr>
          <w:ilvl w:val="0"/>
          <w:numId w:val="10"/>
        </w:numPr>
        <w:spacing w:line="239" w:lineRule="auto"/>
        <w:rPr>
          <w:rFonts w:eastAsia="Times New Roman" w:cs="Times New Roman"/>
        </w:rPr>
      </w:pPr>
      <w:r w:rsidRPr="0061746C">
        <w:rPr>
          <w:rFonts w:eastAsia="Times New Roman" w:cs="Times New Roman"/>
        </w:rPr>
        <w:t>The adjuster</w:t>
      </w:r>
      <w:r w:rsidR="00D27C7F" w:rsidRPr="0061746C">
        <w:rPr>
          <w:rFonts w:eastAsia="Times New Roman" w:cs="Times New Roman"/>
        </w:rPr>
        <w:t xml:space="preserve"> </w:t>
      </w:r>
      <w:r w:rsidR="00330706" w:rsidRPr="0061746C">
        <w:rPr>
          <w:rFonts w:eastAsia="Times New Roman" w:cs="Times New Roman"/>
        </w:rPr>
        <w:t>could not</w:t>
      </w:r>
      <w:r w:rsidR="00D27C7F" w:rsidRPr="0061746C">
        <w:rPr>
          <w:rFonts w:eastAsia="Times New Roman" w:cs="Times New Roman"/>
        </w:rPr>
        <w:t xml:space="preserve"> confirm a general and temporary condition</w:t>
      </w:r>
      <w:r w:rsidR="00155731" w:rsidRPr="0061746C">
        <w:rPr>
          <w:rFonts w:eastAsia="Times New Roman" w:cs="Times New Roman"/>
        </w:rPr>
        <w:t xml:space="preserve"> of flood</w:t>
      </w:r>
      <w:r w:rsidR="00E860C9" w:rsidRPr="0061746C">
        <w:rPr>
          <w:rFonts w:eastAsia="Times New Roman" w:cs="Times New Roman"/>
        </w:rPr>
        <w:t>ing</w:t>
      </w:r>
      <w:r w:rsidR="00155731" w:rsidRPr="0061746C">
        <w:rPr>
          <w:rFonts w:eastAsia="Times New Roman" w:cs="Times New Roman"/>
        </w:rPr>
        <w:t xml:space="preserve"> existed on the claimed date of loss</w:t>
      </w:r>
      <w:r w:rsidRPr="0061746C">
        <w:rPr>
          <w:rFonts w:eastAsia="Times New Roman" w:cs="Times New Roman"/>
        </w:rPr>
        <w:t>.</w:t>
      </w:r>
    </w:p>
    <w:p w14:paraId="4BFC8CB6" w14:textId="5D3E435D" w:rsidR="0056030A" w:rsidRPr="0061746C" w:rsidRDefault="003E2990">
      <w:pPr>
        <w:pStyle w:val="ListParagraph"/>
        <w:numPr>
          <w:ilvl w:val="0"/>
          <w:numId w:val="10"/>
        </w:numPr>
        <w:spacing w:line="239" w:lineRule="auto"/>
        <w:rPr>
          <w:rFonts w:eastAsia="Times New Roman" w:cs="Times New Roman"/>
        </w:rPr>
      </w:pPr>
      <w:r w:rsidRPr="0061746C">
        <w:rPr>
          <w:rFonts w:eastAsia="Times New Roman" w:cs="Times New Roman"/>
        </w:rPr>
        <w:t xml:space="preserve">In a letter dated </w:t>
      </w:r>
      <w:r w:rsidR="0056030A" w:rsidRPr="0061746C">
        <w:rPr>
          <w:rFonts w:eastAsia="Times New Roman" w:cs="Times New Roman"/>
        </w:rPr>
        <w:t>July</w:t>
      </w:r>
      <w:r w:rsidR="00A02AA5">
        <w:rPr>
          <w:rFonts w:eastAsia="Times New Roman" w:cs="Times New Roman"/>
        </w:rPr>
        <w:t xml:space="preserve"> </w:t>
      </w:r>
      <w:r w:rsidR="0056030A" w:rsidRPr="0061746C">
        <w:rPr>
          <w:rFonts w:eastAsia="Times New Roman" w:cs="Times New Roman"/>
        </w:rPr>
        <w:t>2020</w:t>
      </w:r>
      <w:r w:rsidR="00DF5F0E" w:rsidRPr="0061746C">
        <w:rPr>
          <w:rFonts w:eastAsia="Times New Roman" w:cs="Times New Roman"/>
        </w:rPr>
        <w:t>,</w:t>
      </w:r>
      <w:r w:rsidRPr="0061746C">
        <w:rPr>
          <w:rFonts w:eastAsia="Times New Roman" w:cs="Times New Roman"/>
        </w:rPr>
        <w:t xml:space="preserve"> the insurer denied coverage for </w:t>
      </w:r>
      <w:r w:rsidR="0056030A" w:rsidRPr="0061746C">
        <w:rPr>
          <w:rFonts w:eastAsia="Times New Roman" w:cs="Times New Roman"/>
        </w:rPr>
        <w:t>no general and temporary condition of flood.</w:t>
      </w:r>
      <w:r w:rsidRPr="0061746C">
        <w:rPr>
          <w:rFonts w:eastAsia="Times New Roman" w:cs="Times New Roman"/>
        </w:rPr>
        <w:t xml:space="preserve"> </w:t>
      </w:r>
    </w:p>
    <w:p w14:paraId="6964467C" w14:textId="26DB1459" w:rsidR="008F6C54" w:rsidRPr="0061746C" w:rsidRDefault="0056030A" w:rsidP="00C07BAF">
      <w:pPr>
        <w:pStyle w:val="ListParagraph"/>
        <w:numPr>
          <w:ilvl w:val="0"/>
          <w:numId w:val="10"/>
        </w:numPr>
        <w:spacing w:line="239" w:lineRule="auto"/>
        <w:rPr>
          <w:rFonts w:eastAsia="Times New Roman" w:cs="Times New Roman"/>
        </w:rPr>
      </w:pPr>
      <w:r w:rsidRPr="0061746C">
        <w:rPr>
          <w:rFonts w:eastAsia="Times New Roman" w:cs="Times New Roman"/>
        </w:rPr>
        <w:t xml:space="preserve">The policyholder appeals the </w:t>
      </w:r>
      <w:r w:rsidR="00155731" w:rsidRPr="0061746C">
        <w:rPr>
          <w:rFonts w:eastAsia="Times New Roman" w:cs="Times New Roman"/>
        </w:rPr>
        <w:t xml:space="preserve">insurer’s </w:t>
      </w:r>
      <w:r w:rsidRPr="0061746C">
        <w:rPr>
          <w:rFonts w:eastAsia="Times New Roman" w:cs="Times New Roman"/>
        </w:rPr>
        <w:t>denial</w:t>
      </w:r>
      <w:r w:rsidR="00C07BAF" w:rsidRPr="0061746C">
        <w:rPr>
          <w:rFonts w:eastAsia="Times New Roman" w:cs="Times New Roman"/>
        </w:rPr>
        <w:t xml:space="preserve"> </w:t>
      </w:r>
      <w:r w:rsidR="00155731" w:rsidRPr="0061746C">
        <w:rPr>
          <w:rFonts w:eastAsia="Times New Roman" w:cs="Times New Roman"/>
        </w:rPr>
        <w:t xml:space="preserve">of coverage. The policyholder contends her </w:t>
      </w:r>
      <w:r w:rsidR="00E860C9" w:rsidRPr="0061746C">
        <w:rPr>
          <w:rFonts w:eastAsia="Times New Roman" w:cs="Times New Roman"/>
        </w:rPr>
        <w:t>street flooded and her neighbor’s property flooded. The policyholder contends the adjuster did not properly canvas the neighborhood, as her neighbor’s insurer covered their flood related damages.</w:t>
      </w:r>
      <w:r w:rsidR="00C07BAF" w:rsidRPr="0061746C">
        <w:rPr>
          <w:rFonts w:eastAsia="Times New Roman" w:cs="Times New Roman"/>
        </w:rPr>
        <w:t xml:space="preserve"> In support of </w:t>
      </w:r>
      <w:r w:rsidR="00E860C9" w:rsidRPr="0061746C">
        <w:rPr>
          <w:rFonts w:eastAsia="Times New Roman" w:cs="Times New Roman"/>
        </w:rPr>
        <w:t>her</w:t>
      </w:r>
      <w:r w:rsidR="00C07BAF" w:rsidRPr="0061746C">
        <w:rPr>
          <w:rFonts w:eastAsia="Times New Roman" w:cs="Times New Roman"/>
        </w:rPr>
        <w:t xml:space="preserve"> appeal, t</w:t>
      </w:r>
      <w:r w:rsidR="008F6C54" w:rsidRPr="0061746C">
        <w:rPr>
          <w:rFonts w:eastAsia="Times New Roman" w:cs="Times New Roman"/>
        </w:rPr>
        <w:t xml:space="preserve">he policyholder </w:t>
      </w:r>
      <w:r w:rsidR="00E860C9" w:rsidRPr="0061746C">
        <w:rPr>
          <w:rFonts w:eastAsia="Times New Roman" w:cs="Times New Roman"/>
        </w:rPr>
        <w:t xml:space="preserve">submits </w:t>
      </w:r>
      <w:r w:rsidR="00C07BAF" w:rsidRPr="0061746C">
        <w:rPr>
          <w:rFonts w:eastAsia="Times New Roman" w:cs="Times New Roman"/>
        </w:rPr>
        <w:t xml:space="preserve">an </w:t>
      </w:r>
      <w:r w:rsidRPr="0061746C">
        <w:rPr>
          <w:rFonts w:eastAsia="Times New Roman" w:cs="Times New Roman"/>
        </w:rPr>
        <w:t>email</w:t>
      </w:r>
      <w:r w:rsidR="00E860C9" w:rsidRPr="0061746C">
        <w:rPr>
          <w:rFonts w:eastAsia="Times New Roman" w:cs="Times New Roman"/>
        </w:rPr>
        <w:t>ed statement</w:t>
      </w:r>
      <w:r w:rsidRPr="0061746C">
        <w:rPr>
          <w:rFonts w:eastAsia="Times New Roman" w:cs="Times New Roman"/>
        </w:rPr>
        <w:t xml:space="preserve"> from </w:t>
      </w:r>
      <w:r w:rsidR="00C07BAF" w:rsidRPr="0061746C">
        <w:rPr>
          <w:rFonts w:eastAsia="Times New Roman" w:cs="Times New Roman"/>
        </w:rPr>
        <w:t xml:space="preserve">a </w:t>
      </w:r>
      <w:r w:rsidRPr="0061746C">
        <w:rPr>
          <w:rFonts w:eastAsia="Times New Roman" w:cs="Times New Roman"/>
        </w:rPr>
        <w:t xml:space="preserve">neighbor, </w:t>
      </w:r>
      <w:r w:rsidR="00C07BAF" w:rsidRPr="0061746C">
        <w:rPr>
          <w:rFonts w:eastAsia="Times New Roman" w:cs="Times New Roman"/>
        </w:rPr>
        <w:t xml:space="preserve">a </w:t>
      </w:r>
      <w:r w:rsidRPr="0061746C">
        <w:rPr>
          <w:rFonts w:eastAsia="Times New Roman" w:cs="Times New Roman"/>
        </w:rPr>
        <w:t>repair estimate, and photo</w:t>
      </w:r>
      <w:r w:rsidR="00E860C9" w:rsidRPr="0061746C">
        <w:rPr>
          <w:rFonts w:eastAsia="Times New Roman" w:cs="Times New Roman"/>
        </w:rPr>
        <w:t>graph</w:t>
      </w:r>
      <w:r w:rsidRPr="0061746C">
        <w:rPr>
          <w:rFonts w:eastAsia="Times New Roman" w:cs="Times New Roman"/>
        </w:rPr>
        <w:t>s</w:t>
      </w:r>
      <w:r w:rsidR="00717603" w:rsidRPr="0061746C">
        <w:rPr>
          <w:rFonts w:eastAsia="Times New Roman" w:cs="Times New Roman"/>
        </w:rPr>
        <w:t xml:space="preserve">. Because this information does not respond </w:t>
      </w:r>
      <w:r w:rsidR="00A01D6D" w:rsidRPr="0061746C">
        <w:rPr>
          <w:rFonts w:eastAsia="Times New Roman" w:cs="Times New Roman"/>
        </w:rPr>
        <w:t>to the insurer’s reason for denial</w:t>
      </w:r>
      <w:r w:rsidR="00717603" w:rsidRPr="0061746C">
        <w:rPr>
          <w:rFonts w:eastAsia="Times New Roman" w:cs="Times New Roman"/>
        </w:rPr>
        <w:t xml:space="preserve">, </w:t>
      </w:r>
      <w:r w:rsidR="00C3555E" w:rsidRPr="0061746C">
        <w:rPr>
          <w:rFonts w:eastAsia="Times New Roman" w:cs="Times New Roman"/>
        </w:rPr>
        <w:t xml:space="preserve">FEMA’s decision is </w:t>
      </w:r>
      <w:r w:rsidR="00EC2D27" w:rsidRPr="0061746C">
        <w:rPr>
          <w:rFonts w:eastAsia="Times New Roman" w:cs="Times New Roman"/>
        </w:rPr>
        <w:t>based on</w:t>
      </w:r>
      <w:r w:rsidR="00C3555E" w:rsidRPr="0061746C">
        <w:rPr>
          <w:rFonts w:eastAsia="Times New Roman" w:cs="Times New Roman"/>
        </w:rPr>
        <w:t xml:space="preserve"> the documentation in the claim file</w:t>
      </w:r>
      <w:r w:rsidR="009231DA" w:rsidRPr="0061746C">
        <w:rPr>
          <w:rFonts w:eastAsia="Times New Roman" w:cs="Times New Roman"/>
        </w:rPr>
        <w:t>.</w:t>
      </w:r>
      <w:r w:rsidR="00830810" w:rsidRPr="0061746C">
        <w:rPr>
          <w:rFonts w:eastAsia="Times New Roman" w:cs="Times New Roman"/>
        </w:rPr>
        <w:t xml:space="preserve"> </w:t>
      </w:r>
      <w:r w:rsidR="008F6C54" w:rsidRPr="0061746C">
        <w:rPr>
          <w:rFonts w:eastAsia="Times New Roman" w:cs="Times New Roman"/>
        </w:rPr>
        <w:t xml:space="preserve"> </w:t>
      </w:r>
    </w:p>
    <w:p w14:paraId="29C94788" w14:textId="77777777" w:rsidR="00676309" w:rsidRPr="00341C31" w:rsidRDefault="00676309" w:rsidP="006000BF">
      <w:pPr>
        <w:rPr>
          <w:b/>
          <w:u w:val="single"/>
        </w:rPr>
      </w:pPr>
    </w:p>
    <w:p w14:paraId="01E5139E" w14:textId="77777777" w:rsidR="0075000D" w:rsidRDefault="0075000D" w:rsidP="00A75959">
      <w:pPr>
        <w:rPr>
          <w:rFonts w:ascii="Franklin Gothic Demi" w:hAnsi="Franklin Gothic Demi"/>
          <w:color w:val="002060"/>
          <w:sz w:val="28"/>
        </w:rPr>
      </w:pPr>
    </w:p>
    <w:p w14:paraId="27EC9E04" w14:textId="77777777" w:rsidR="0075000D" w:rsidRDefault="0075000D" w:rsidP="00A75959">
      <w:pPr>
        <w:rPr>
          <w:rFonts w:ascii="Franklin Gothic Demi" w:hAnsi="Franklin Gothic Demi"/>
          <w:color w:val="002060"/>
          <w:sz w:val="28"/>
        </w:rPr>
      </w:pPr>
    </w:p>
    <w:p w14:paraId="5544F46A" w14:textId="77777777" w:rsidR="0075000D" w:rsidRDefault="0075000D" w:rsidP="00A75959">
      <w:pPr>
        <w:rPr>
          <w:rFonts w:ascii="Franklin Gothic Demi" w:hAnsi="Franklin Gothic Demi"/>
          <w:color w:val="002060"/>
          <w:sz w:val="28"/>
        </w:rPr>
      </w:pPr>
    </w:p>
    <w:p w14:paraId="2AFB2336" w14:textId="3B76BD32" w:rsidR="0088406B" w:rsidRPr="00341C31" w:rsidRDefault="0088406B" w:rsidP="00A75959">
      <w:pPr>
        <w:rPr>
          <w:rFonts w:ascii="Franklin Gothic Demi" w:hAnsi="Franklin Gothic Demi"/>
          <w:color w:val="002060"/>
          <w:sz w:val="28"/>
        </w:rPr>
      </w:pPr>
      <w:r w:rsidRPr="00341C31">
        <w:rPr>
          <w:rFonts w:ascii="Franklin Gothic Demi" w:hAnsi="Franklin Gothic Demi"/>
          <w:color w:val="002060"/>
          <w:sz w:val="28"/>
        </w:rPr>
        <w:t>RULES</w:t>
      </w:r>
    </w:p>
    <w:p w14:paraId="7F8287B6" w14:textId="5E19C097" w:rsidR="0088406B" w:rsidRPr="00341C31" w:rsidRDefault="008660D0" w:rsidP="006000BF">
      <w:r w:rsidRPr="00341C31">
        <w:rPr>
          <w:rFonts w:ascii="Franklin Gothic Demi" w:hAnsi="Franklin Gothic Demi"/>
          <w:noProof/>
          <w:color w:val="002060"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DB718A" wp14:editId="6354AB59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5943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078110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75pt" to="468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" strokecolor="#002060">
                <v:stroke joinstyle="miter"/>
              </v:line>
            </w:pict>
          </mc:Fallback>
        </mc:AlternateContent>
      </w:r>
    </w:p>
    <w:p w14:paraId="04231E77" w14:textId="3DA859A6" w:rsidR="00C07BAF" w:rsidRPr="00C07BAF" w:rsidRDefault="00C07BAF" w:rsidP="00C07BAF">
      <w:pPr>
        <w:rPr>
          <w:rFonts w:cs="Times New Roman"/>
        </w:rPr>
      </w:pPr>
      <w:r w:rsidRPr="00C07BAF">
        <w:rPr>
          <w:rFonts w:cs="Times New Roman"/>
        </w:rPr>
        <w:t>The insurer agrees to pay the policyholder for direct physical loss by or from flood to covered property,</w:t>
      </w:r>
    </w:p>
    <w:p w14:paraId="0B5BFEE5" w14:textId="1A65B6C1" w:rsidR="001C3A97" w:rsidRDefault="00C07BAF" w:rsidP="00C07BAF">
      <w:pPr>
        <w:rPr>
          <w:rFonts w:cs="Times New Roman"/>
        </w:rPr>
      </w:pPr>
      <w:r w:rsidRPr="00C07BAF">
        <w:rPr>
          <w:rFonts w:cs="Times New Roman"/>
        </w:rPr>
        <w:t>provided the policyholder complie</w:t>
      </w:r>
      <w:r w:rsidR="00E860C9">
        <w:rPr>
          <w:rFonts w:cs="Times New Roman"/>
        </w:rPr>
        <w:t>s</w:t>
      </w:r>
      <w:r w:rsidRPr="00C07BAF">
        <w:rPr>
          <w:rFonts w:cs="Times New Roman"/>
        </w:rPr>
        <w:t xml:space="preserve"> with all terms and conditions of the SFIP.</w:t>
      </w:r>
      <w:r w:rsidR="0075000D">
        <w:rPr>
          <w:rStyle w:val="FootnoteReference"/>
          <w:rFonts w:cs="Times New Roman"/>
        </w:rPr>
        <w:footnoteReference w:id="3"/>
      </w:r>
    </w:p>
    <w:p w14:paraId="21499608" w14:textId="77777777" w:rsidR="0075000D" w:rsidRDefault="0075000D" w:rsidP="009A4840">
      <w:pPr>
        <w:rPr>
          <w:rFonts w:cs="Times New Roman"/>
        </w:rPr>
      </w:pPr>
    </w:p>
    <w:p w14:paraId="678CB6A5" w14:textId="112F4DA3" w:rsidR="0075000D" w:rsidRPr="0061746C" w:rsidRDefault="00C07BAF" w:rsidP="00C07BAF">
      <w:pPr>
        <w:rPr>
          <w:rFonts w:cs="Times New Roman"/>
        </w:rPr>
      </w:pPr>
      <w:bookmarkStart w:id="0" w:name="OLE_LINK1"/>
      <w:bookmarkStart w:id="1" w:name="_Hlk63170964"/>
      <w:r w:rsidRPr="00C07BAF">
        <w:rPr>
          <w:rFonts w:cs="Times New Roman"/>
        </w:rPr>
        <w:t>The SFIP defines flood as a general and temporary condition of partial or complete inundation of two or more</w:t>
      </w:r>
      <w:r>
        <w:rPr>
          <w:rFonts w:cs="Times New Roman"/>
        </w:rPr>
        <w:t xml:space="preserve"> </w:t>
      </w:r>
      <w:r w:rsidRPr="00C07BAF">
        <w:rPr>
          <w:rFonts w:cs="Times New Roman"/>
        </w:rPr>
        <w:t>acres of normally dry land area or of two or more properties</w:t>
      </w:r>
      <w:r w:rsidR="00E860C9">
        <w:rPr>
          <w:rFonts w:cs="Times New Roman"/>
        </w:rPr>
        <w:t xml:space="preserve">, </w:t>
      </w:r>
      <w:r w:rsidRPr="00C07BAF">
        <w:rPr>
          <w:rFonts w:cs="Times New Roman"/>
        </w:rPr>
        <w:t>one of which is the policyholder</w:t>
      </w:r>
      <w:r w:rsidR="00E860C9">
        <w:rPr>
          <w:rFonts w:cs="Times New Roman"/>
        </w:rPr>
        <w:t>’</w:t>
      </w:r>
      <w:r w:rsidRPr="00C07BAF">
        <w:rPr>
          <w:rFonts w:cs="Times New Roman"/>
        </w:rPr>
        <w:t>s property,</w:t>
      </w:r>
      <w:r>
        <w:rPr>
          <w:rFonts w:cs="Times New Roman"/>
        </w:rPr>
        <w:t xml:space="preserve"> </w:t>
      </w:r>
      <w:r w:rsidRPr="00C07BAF">
        <w:rPr>
          <w:rFonts w:cs="Times New Roman"/>
        </w:rPr>
        <w:t>from overflow of inland or tidal waters, unusual and rapid accumulation or runoff of surface waters from any</w:t>
      </w:r>
      <w:r>
        <w:rPr>
          <w:rFonts w:cs="Times New Roman"/>
        </w:rPr>
        <w:t xml:space="preserve"> </w:t>
      </w:r>
      <w:r w:rsidRPr="00C07BAF">
        <w:rPr>
          <w:rFonts w:cs="Times New Roman"/>
        </w:rPr>
        <w:t>source, or mudflow</w:t>
      </w:r>
      <w:bookmarkEnd w:id="0"/>
      <w:r w:rsidR="0075000D" w:rsidRPr="0075000D">
        <w:rPr>
          <w:rFonts w:cs="Times New Roman"/>
        </w:rPr>
        <w:t>.</w:t>
      </w:r>
      <w:bookmarkEnd w:id="1"/>
      <w:r w:rsidR="0075000D">
        <w:rPr>
          <w:rStyle w:val="FootnoteReference"/>
          <w:rFonts w:cs="Times New Roman"/>
        </w:rPr>
        <w:footnoteReference w:id="4"/>
      </w:r>
      <w:r w:rsidR="0075000D" w:rsidRPr="0075000D">
        <w:rPr>
          <w:rFonts w:cs="Times New Roman"/>
          <w:i/>
        </w:rPr>
        <w:t xml:space="preserve"> </w:t>
      </w:r>
    </w:p>
    <w:p w14:paraId="534A2B91" w14:textId="5F762E6B" w:rsidR="0075000D" w:rsidRDefault="0075000D" w:rsidP="0075000D">
      <w:pPr>
        <w:rPr>
          <w:rFonts w:cs="Times New Roman"/>
          <w:i/>
        </w:rPr>
      </w:pPr>
    </w:p>
    <w:p w14:paraId="467352F3" w14:textId="302ACB5F" w:rsidR="0075000D" w:rsidRDefault="00C07BAF" w:rsidP="00C07BAF">
      <w:pPr>
        <w:rPr>
          <w:rFonts w:cs="Times New Roman"/>
          <w:iCs/>
        </w:rPr>
      </w:pPr>
      <w:bookmarkStart w:id="2" w:name="_Hlk63171000"/>
      <w:bookmarkStart w:id="3" w:name="_Hlk40896723"/>
      <w:r w:rsidRPr="00C07BAF">
        <w:rPr>
          <w:rFonts w:cs="Times New Roman"/>
          <w:iCs/>
        </w:rPr>
        <w:t xml:space="preserve">The </w:t>
      </w:r>
      <w:r w:rsidR="00330706">
        <w:rPr>
          <w:rFonts w:cs="Times New Roman"/>
          <w:iCs/>
        </w:rPr>
        <w:t>insurer</w:t>
      </w:r>
      <w:r w:rsidRPr="00C07BAF">
        <w:rPr>
          <w:rFonts w:cs="Times New Roman"/>
          <w:iCs/>
        </w:rPr>
        <w:t xml:space="preserve"> does not </w:t>
      </w:r>
      <w:r w:rsidR="00A47EC3">
        <w:rPr>
          <w:rFonts w:cs="Times New Roman"/>
          <w:iCs/>
        </w:rPr>
        <w:t>cover direct physical loss</w:t>
      </w:r>
      <w:r w:rsidRPr="00C07BAF">
        <w:rPr>
          <w:rFonts w:cs="Times New Roman"/>
          <w:iCs/>
        </w:rPr>
        <w:t xml:space="preserve"> caused directly or indirectly by water, moisture, mildew or mold damage</w:t>
      </w:r>
      <w:r>
        <w:rPr>
          <w:rFonts w:cs="Times New Roman"/>
          <w:iCs/>
        </w:rPr>
        <w:t xml:space="preserve"> </w:t>
      </w:r>
      <w:r w:rsidRPr="00C07BAF">
        <w:rPr>
          <w:rFonts w:cs="Times New Roman"/>
          <w:iCs/>
        </w:rPr>
        <w:t xml:space="preserve">that results primarily from any condition substantially confined to the </w:t>
      </w:r>
      <w:r w:rsidR="00A47EC3">
        <w:rPr>
          <w:rFonts w:cs="Times New Roman"/>
          <w:iCs/>
        </w:rPr>
        <w:t>building</w:t>
      </w:r>
      <w:r w:rsidRPr="00C07BAF">
        <w:rPr>
          <w:rFonts w:cs="Times New Roman"/>
          <w:iCs/>
        </w:rPr>
        <w:t xml:space="preserve"> within the policyholder</w:t>
      </w:r>
      <w:r w:rsidR="00E860C9">
        <w:rPr>
          <w:rFonts w:cs="Times New Roman"/>
          <w:iCs/>
        </w:rPr>
        <w:t>’</w:t>
      </w:r>
      <w:r w:rsidRPr="00C07BAF">
        <w:rPr>
          <w:rFonts w:cs="Times New Roman"/>
          <w:iCs/>
        </w:rPr>
        <w:t>s</w:t>
      </w:r>
      <w:r>
        <w:rPr>
          <w:rFonts w:cs="Times New Roman"/>
          <w:iCs/>
        </w:rPr>
        <w:t xml:space="preserve"> </w:t>
      </w:r>
      <w:r w:rsidRPr="00C07BAF">
        <w:rPr>
          <w:rFonts w:cs="Times New Roman"/>
          <w:iCs/>
        </w:rPr>
        <w:t>control to include but not limited to design, structural, mechanical defects, or water or water-borne material</w:t>
      </w:r>
      <w:r>
        <w:rPr>
          <w:rFonts w:cs="Times New Roman"/>
          <w:iCs/>
        </w:rPr>
        <w:t xml:space="preserve"> </w:t>
      </w:r>
      <w:r w:rsidRPr="00C07BAF">
        <w:rPr>
          <w:rFonts w:cs="Times New Roman"/>
          <w:iCs/>
        </w:rPr>
        <w:t>that seeps or leaks on or through the covered property</w:t>
      </w:r>
      <w:r w:rsidR="0075000D" w:rsidRPr="0075000D">
        <w:rPr>
          <w:rFonts w:cs="Times New Roman"/>
          <w:iCs/>
        </w:rPr>
        <w:t>.</w:t>
      </w:r>
      <w:bookmarkEnd w:id="2"/>
      <w:r w:rsidR="0075000D">
        <w:rPr>
          <w:rStyle w:val="FootnoteReference"/>
          <w:rFonts w:cs="Times New Roman"/>
          <w:iCs/>
        </w:rPr>
        <w:footnoteReference w:id="5"/>
      </w:r>
      <w:r w:rsidR="0075000D" w:rsidRPr="0075000D">
        <w:rPr>
          <w:rFonts w:cs="Times New Roman"/>
          <w:iCs/>
        </w:rPr>
        <w:t xml:space="preserve"> </w:t>
      </w:r>
      <w:bookmarkStart w:id="4" w:name="_Hlk40896771"/>
      <w:bookmarkEnd w:id="3"/>
    </w:p>
    <w:p w14:paraId="4571D797" w14:textId="36175CD3" w:rsidR="00F547B0" w:rsidRDefault="00F547B0" w:rsidP="00C07BAF">
      <w:pPr>
        <w:rPr>
          <w:rFonts w:cs="Times New Roman"/>
          <w:iCs/>
        </w:rPr>
      </w:pPr>
    </w:p>
    <w:bookmarkEnd w:id="4"/>
    <w:p w14:paraId="45DBC782" w14:textId="77777777" w:rsidR="00D46895" w:rsidRPr="00341C31" w:rsidRDefault="00D46895" w:rsidP="006000BF"/>
    <w:p w14:paraId="233048E1" w14:textId="21BC72C1" w:rsidR="00676309" w:rsidRPr="00341C31" w:rsidRDefault="00676309" w:rsidP="00A75959">
      <w:pPr>
        <w:rPr>
          <w:rFonts w:ascii="Franklin Gothic Demi" w:hAnsi="Franklin Gothic Demi" w:cs="Times New Roman"/>
          <w:color w:val="002060"/>
          <w:sz w:val="28"/>
        </w:rPr>
      </w:pPr>
      <w:r w:rsidRPr="00341C31">
        <w:rPr>
          <w:rFonts w:ascii="Franklin Gothic Demi" w:hAnsi="Franklin Gothic Demi" w:cs="Times New Roman"/>
          <w:color w:val="002060"/>
          <w:sz w:val="28"/>
        </w:rPr>
        <w:t>ANALYSIS</w:t>
      </w:r>
    </w:p>
    <w:p w14:paraId="0E689AC9" w14:textId="20370E0A" w:rsidR="00676309" w:rsidRPr="00341C31" w:rsidRDefault="008660D0" w:rsidP="006000BF">
      <w:r w:rsidRPr="00341C31">
        <w:rPr>
          <w:rFonts w:ascii="Franklin Gothic Demi" w:hAnsi="Franklin Gothic Demi"/>
          <w:noProof/>
          <w:color w:val="002060"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59EAA0" wp14:editId="709D2356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436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CAA1C7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1pt" to="46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" strokecolor="#002060">
                <v:stroke joinstyle="miter"/>
              </v:line>
            </w:pict>
          </mc:Fallback>
        </mc:AlternateContent>
      </w:r>
    </w:p>
    <w:p w14:paraId="6FC23946" w14:textId="21EDB9BB" w:rsidR="006D35C0" w:rsidRDefault="00627D7D" w:rsidP="00635CCB">
      <w:pPr>
        <w:rPr>
          <w:rFonts w:cs="Times New Roman"/>
        </w:rPr>
      </w:pPr>
      <w:r>
        <w:rPr>
          <w:rFonts w:cs="Times New Roman"/>
        </w:rPr>
        <w:t xml:space="preserve">The policyholder appeals the insurer’s denial of coverage due to no general and temporary condition of flood. </w:t>
      </w:r>
      <w:r w:rsidR="00635CCB">
        <w:rPr>
          <w:rFonts w:cs="Times New Roman"/>
        </w:rPr>
        <w:t xml:space="preserve"> </w:t>
      </w:r>
    </w:p>
    <w:p w14:paraId="5C54897A" w14:textId="322B068E" w:rsidR="00635CCB" w:rsidRDefault="00635CCB" w:rsidP="00635CCB">
      <w:pPr>
        <w:rPr>
          <w:rFonts w:cs="Times New Roman"/>
        </w:rPr>
      </w:pPr>
    </w:p>
    <w:p w14:paraId="097383E5" w14:textId="1B863292" w:rsidR="00331613" w:rsidRDefault="00330706" w:rsidP="00635CCB">
      <w:pPr>
        <w:rPr>
          <w:rFonts w:cs="Times New Roman"/>
        </w:rPr>
      </w:pPr>
      <w:r w:rsidRPr="00330706">
        <w:rPr>
          <w:rFonts w:cs="Times New Roman"/>
        </w:rPr>
        <w:t>The insurer agrees to pay the policyholder for direct physical loss by or from flood. The SFIP defines a flood as a general and temporary condition of partial or complete inundation of two or more acres of normally dry land or of two or more properties, one of which is the policyholder</w:t>
      </w:r>
      <w:r>
        <w:rPr>
          <w:rFonts w:cs="Times New Roman"/>
        </w:rPr>
        <w:t>’</w:t>
      </w:r>
      <w:r w:rsidRPr="00330706">
        <w:rPr>
          <w:rFonts w:cs="Times New Roman"/>
        </w:rPr>
        <w:t>s property. The N</w:t>
      </w:r>
      <w:r>
        <w:rPr>
          <w:rFonts w:cs="Times New Roman"/>
        </w:rPr>
        <w:t>ational Flood Insurance Program (N</w:t>
      </w:r>
      <w:r w:rsidRPr="00330706">
        <w:rPr>
          <w:rFonts w:cs="Times New Roman"/>
        </w:rPr>
        <w:t>FIP</w:t>
      </w:r>
      <w:r>
        <w:rPr>
          <w:rFonts w:cs="Times New Roman"/>
        </w:rPr>
        <w:t>)</w:t>
      </w:r>
      <w:r w:rsidRPr="00330706">
        <w:rPr>
          <w:rFonts w:cs="Times New Roman"/>
        </w:rPr>
        <w:t xml:space="preserve"> Claims Manual </w:t>
      </w:r>
      <w:r>
        <w:rPr>
          <w:rFonts w:cs="Times New Roman"/>
        </w:rPr>
        <w:t>further explains</w:t>
      </w:r>
      <w:r w:rsidRPr="00330706">
        <w:rPr>
          <w:rFonts w:cs="Times New Roman"/>
        </w:rPr>
        <w:t xml:space="preserve"> the SFIP definition of flood and </w:t>
      </w:r>
      <w:r>
        <w:rPr>
          <w:rFonts w:cs="Times New Roman"/>
        </w:rPr>
        <w:t>determines</w:t>
      </w:r>
      <w:r w:rsidRPr="00330706">
        <w:rPr>
          <w:rFonts w:cs="Times New Roman"/>
        </w:rPr>
        <w:t xml:space="preserve"> two or more properties or parcels of land must touch.</w:t>
      </w:r>
      <w:r>
        <w:rPr>
          <w:rStyle w:val="FootnoteReference"/>
          <w:rFonts w:cs="Times New Roman"/>
        </w:rPr>
        <w:footnoteReference w:id="6"/>
      </w:r>
      <w:r w:rsidRPr="00330706">
        <w:rPr>
          <w:rFonts w:cs="Times New Roman"/>
        </w:rPr>
        <w:t xml:space="preserve">  </w:t>
      </w:r>
      <w:r>
        <w:rPr>
          <w:rFonts w:cs="Times New Roman"/>
        </w:rPr>
        <w:t xml:space="preserve">Here, the adjuster could not confirm a general and temporary condition of flood existed </w:t>
      </w:r>
      <w:r w:rsidR="00221901">
        <w:rPr>
          <w:rFonts w:cs="Times New Roman"/>
        </w:rPr>
        <w:t>on the claimed date of loss</w:t>
      </w:r>
      <w:r>
        <w:rPr>
          <w:rFonts w:cs="Times New Roman"/>
        </w:rPr>
        <w:t xml:space="preserve">. </w:t>
      </w:r>
      <w:r w:rsidR="00680ABF">
        <w:rPr>
          <w:rFonts w:cs="Times New Roman"/>
        </w:rPr>
        <w:t>T</w:t>
      </w:r>
      <w:r w:rsidR="00680ABF" w:rsidRPr="00680ABF">
        <w:rPr>
          <w:rFonts w:cs="Times New Roman"/>
        </w:rPr>
        <w:t>he adjuster noted there was flooding in the street</w:t>
      </w:r>
      <w:r w:rsidR="00680ABF">
        <w:rPr>
          <w:rFonts w:cs="Times New Roman"/>
        </w:rPr>
        <w:t xml:space="preserve"> in front of the policyholder’s building</w:t>
      </w:r>
      <w:r w:rsidR="00680ABF" w:rsidRPr="00680ABF">
        <w:rPr>
          <w:rFonts w:cs="Times New Roman"/>
        </w:rPr>
        <w:t xml:space="preserve">; however, the </w:t>
      </w:r>
      <w:r w:rsidR="00680ABF">
        <w:rPr>
          <w:rFonts w:cs="Times New Roman"/>
        </w:rPr>
        <w:t>policyholder’s building</w:t>
      </w:r>
      <w:r w:rsidR="00680ABF" w:rsidRPr="00680ABF">
        <w:rPr>
          <w:rFonts w:cs="Times New Roman"/>
        </w:rPr>
        <w:t xml:space="preserve"> sits five feet above </w:t>
      </w:r>
      <w:r w:rsidR="00680ABF">
        <w:rPr>
          <w:rFonts w:cs="Times New Roman"/>
        </w:rPr>
        <w:t>street</w:t>
      </w:r>
      <w:r w:rsidR="00221901">
        <w:rPr>
          <w:rFonts w:cs="Times New Roman"/>
        </w:rPr>
        <w:t xml:space="preserve"> level</w:t>
      </w:r>
      <w:r w:rsidR="00680ABF">
        <w:rPr>
          <w:rFonts w:cs="Times New Roman"/>
        </w:rPr>
        <w:t xml:space="preserve">. </w:t>
      </w:r>
      <w:r w:rsidR="002F1D72">
        <w:rPr>
          <w:rFonts w:cs="Times New Roman"/>
        </w:rPr>
        <w:t>The policyholder contends the claimed flood event also caused damage to her ne</w:t>
      </w:r>
      <w:r w:rsidR="00331613">
        <w:rPr>
          <w:rFonts w:cs="Times New Roman"/>
        </w:rPr>
        <w:t>i</w:t>
      </w:r>
      <w:r w:rsidR="002F1D72">
        <w:rPr>
          <w:rFonts w:cs="Times New Roman"/>
        </w:rPr>
        <w:t xml:space="preserve">ghbor’s property. </w:t>
      </w:r>
      <w:r w:rsidR="00331613">
        <w:rPr>
          <w:rFonts w:cs="Times New Roman"/>
        </w:rPr>
        <w:t>However, t</w:t>
      </w:r>
      <w:r w:rsidR="002F1D72" w:rsidRPr="002F1D72">
        <w:rPr>
          <w:rFonts w:cs="Times New Roman"/>
        </w:rPr>
        <w:t xml:space="preserve">he adjuster documented no debris or damage to neighboring properties. </w:t>
      </w:r>
      <w:r w:rsidR="00AF6468">
        <w:rPr>
          <w:rFonts w:cs="Times New Roman"/>
        </w:rPr>
        <w:t xml:space="preserve">The adjuster’s research </w:t>
      </w:r>
      <w:r w:rsidR="0037074D">
        <w:rPr>
          <w:rFonts w:cs="Times New Roman"/>
        </w:rPr>
        <w:t xml:space="preserve">also </w:t>
      </w:r>
      <w:r w:rsidR="00331613">
        <w:rPr>
          <w:rFonts w:cs="Times New Roman"/>
        </w:rPr>
        <w:t>determined</w:t>
      </w:r>
      <w:r w:rsidR="00AF6468">
        <w:rPr>
          <w:rFonts w:cs="Times New Roman"/>
        </w:rPr>
        <w:t xml:space="preserve"> the neighbor’s property that sustained flood related damage on the claimed date of loss is located five houses down from the policyholder’s property. FEMA’s review </w:t>
      </w:r>
      <w:r w:rsidR="00331613">
        <w:rPr>
          <w:rFonts w:cs="Times New Roman"/>
        </w:rPr>
        <w:t>notes this indicates</w:t>
      </w:r>
      <w:r w:rsidR="00AF6468">
        <w:rPr>
          <w:rFonts w:cs="Times New Roman"/>
        </w:rPr>
        <w:t xml:space="preserve"> the policyholder and the neighbor’s property are not adjoining. </w:t>
      </w:r>
      <w:r w:rsidR="00331613">
        <w:rPr>
          <w:rFonts w:cs="Times New Roman"/>
        </w:rPr>
        <w:t xml:space="preserve">Accordingly, FEMA’s review finds the insurer properly </w:t>
      </w:r>
      <w:r w:rsidR="002B09C9">
        <w:rPr>
          <w:rFonts w:cs="Times New Roman"/>
        </w:rPr>
        <w:t xml:space="preserve">determined </w:t>
      </w:r>
      <w:r w:rsidR="00331613">
        <w:rPr>
          <w:rFonts w:cs="Times New Roman"/>
        </w:rPr>
        <w:t>no general and temporary condition of flood</w:t>
      </w:r>
      <w:r w:rsidR="002B09C9">
        <w:rPr>
          <w:rFonts w:cs="Times New Roman"/>
        </w:rPr>
        <w:t xml:space="preserve"> existed on the claimed date of loss</w:t>
      </w:r>
      <w:r w:rsidR="00331613">
        <w:rPr>
          <w:rFonts w:cs="Times New Roman"/>
        </w:rPr>
        <w:t xml:space="preserve">. </w:t>
      </w:r>
    </w:p>
    <w:p w14:paraId="64759539" w14:textId="77777777" w:rsidR="00331613" w:rsidRDefault="00331613" w:rsidP="00635CCB">
      <w:pPr>
        <w:rPr>
          <w:rFonts w:cs="Times New Roman"/>
        </w:rPr>
      </w:pPr>
    </w:p>
    <w:p w14:paraId="12CF1012" w14:textId="33F64539" w:rsidR="00165C45" w:rsidRDefault="00680ABF" w:rsidP="00635CCB">
      <w:pPr>
        <w:rPr>
          <w:rFonts w:cs="Times New Roman"/>
        </w:rPr>
      </w:pPr>
      <w:r>
        <w:rPr>
          <w:rFonts w:cs="Times New Roman"/>
        </w:rPr>
        <w:t xml:space="preserve">The </w:t>
      </w:r>
      <w:r w:rsidR="00C846B9" w:rsidRPr="00C846B9">
        <w:rPr>
          <w:rFonts w:cs="Times New Roman"/>
        </w:rPr>
        <w:t xml:space="preserve">SFIP does not </w:t>
      </w:r>
      <w:r>
        <w:rPr>
          <w:rFonts w:cs="Times New Roman"/>
        </w:rPr>
        <w:t>pay for damage</w:t>
      </w:r>
      <w:r w:rsidR="00C846B9" w:rsidRPr="00C846B9">
        <w:rPr>
          <w:rFonts w:cs="Times New Roman"/>
        </w:rPr>
        <w:t xml:space="preserve"> caused directly or indirectly by water that results primarily from any condition substantially confined to the </w:t>
      </w:r>
      <w:r>
        <w:rPr>
          <w:rFonts w:cs="Times New Roman"/>
        </w:rPr>
        <w:t>building that is within the policyholder’s control,</w:t>
      </w:r>
      <w:r w:rsidR="00C846B9" w:rsidRPr="00C846B9">
        <w:rPr>
          <w:rFonts w:cs="Times New Roman"/>
        </w:rPr>
        <w:t xml:space="preserve"> to include but not limited to water or water-borne material that seeps or leaks on or through the covered property</w:t>
      </w:r>
      <w:r w:rsidR="00C846B9">
        <w:rPr>
          <w:rFonts w:cs="Times New Roman"/>
        </w:rPr>
        <w:t>.</w:t>
      </w:r>
      <w:r w:rsidR="00635CCB">
        <w:rPr>
          <w:rFonts w:cs="Times New Roman"/>
        </w:rPr>
        <w:t xml:space="preserve"> </w:t>
      </w:r>
      <w:r>
        <w:rPr>
          <w:rFonts w:cs="Times New Roman"/>
        </w:rPr>
        <w:t>Here, t</w:t>
      </w:r>
      <w:r w:rsidRPr="00680ABF">
        <w:rPr>
          <w:rFonts w:cs="Times New Roman"/>
        </w:rPr>
        <w:t xml:space="preserve">he adjuster </w:t>
      </w:r>
      <w:r>
        <w:rPr>
          <w:rFonts w:cs="Times New Roman"/>
        </w:rPr>
        <w:t>determined the building</w:t>
      </w:r>
      <w:r w:rsidRPr="00680ABF">
        <w:rPr>
          <w:rFonts w:cs="Times New Roman"/>
        </w:rPr>
        <w:t xml:space="preserve"> experienced </w:t>
      </w:r>
      <w:r w:rsidR="002B09C9">
        <w:rPr>
          <w:rFonts w:cs="Times New Roman"/>
        </w:rPr>
        <w:t xml:space="preserve">non-flood </w:t>
      </w:r>
      <w:r w:rsidRPr="00680ABF">
        <w:rPr>
          <w:rFonts w:cs="Times New Roman"/>
        </w:rPr>
        <w:t xml:space="preserve">seepage </w:t>
      </w:r>
      <w:r w:rsidR="002B09C9">
        <w:rPr>
          <w:rFonts w:cs="Times New Roman"/>
        </w:rPr>
        <w:t xml:space="preserve">due to drainage and maintenance issues </w:t>
      </w:r>
      <w:r w:rsidR="002B09C9">
        <w:rPr>
          <w:rFonts w:cs="Times New Roman"/>
        </w:rPr>
        <w:lastRenderedPageBreak/>
        <w:t xml:space="preserve">in the back yard. The policyholder provides no evidence showing the seepage was caused directly by </w:t>
      </w:r>
      <w:r w:rsidR="00747E5F">
        <w:rPr>
          <w:rFonts w:cs="Times New Roman"/>
        </w:rPr>
        <w:t>or from flood as defined by the SFIP</w:t>
      </w:r>
      <w:r w:rsidR="002B09C9">
        <w:rPr>
          <w:rFonts w:cs="Times New Roman"/>
        </w:rPr>
        <w:t xml:space="preserve">. Accordingly, FEMA’s review finds the insurer properly </w:t>
      </w:r>
      <w:r w:rsidR="00165C45">
        <w:rPr>
          <w:rFonts w:cs="Times New Roman"/>
        </w:rPr>
        <w:t xml:space="preserve">denied coverage, as the damage sustained to the policyholder’s building is not covered under the SFIP. </w:t>
      </w:r>
    </w:p>
    <w:p w14:paraId="593EE6BB" w14:textId="77777777" w:rsidR="00E5748A" w:rsidRDefault="00E5748A" w:rsidP="00635CCB">
      <w:pPr>
        <w:rPr>
          <w:rFonts w:cs="Times New Roman"/>
        </w:rPr>
      </w:pPr>
    </w:p>
    <w:p w14:paraId="48249216" w14:textId="4985E791" w:rsidR="00A1324D" w:rsidRDefault="00165C45" w:rsidP="00635CCB">
      <w:pPr>
        <w:rPr>
          <w:rFonts w:cs="Times New Roman"/>
        </w:rPr>
      </w:pPr>
      <w:r>
        <w:rPr>
          <w:rFonts w:cs="Times New Roman"/>
        </w:rPr>
        <w:t>For these reasons</w:t>
      </w:r>
      <w:r w:rsidR="00A1324D" w:rsidRPr="00A1324D">
        <w:rPr>
          <w:rFonts w:cs="Times New Roman"/>
        </w:rPr>
        <w:t>, FEMA</w:t>
      </w:r>
      <w:r>
        <w:rPr>
          <w:rFonts w:cs="Times New Roman"/>
        </w:rPr>
        <w:t>’s review finds the insurer properly denied coverage</w:t>
      </w:r>
      <w:r w:rsidR="00A1324D" w:rsidRPr="00A1324D">
        <w:rPr>
          <w:rFonts w:cs="Times New Roman"/>
        </w:rPr>
        <w:t xml:space="preserve">. </w:t>
      </w:r>
    </w:p>
    <w:p w14:paraId="60904FA0" w14:textId="77777777" w:rsidR="006D35C0" w:rsidRDefault="006D35C0" w:rsidP="00726B78">
      <w:pPr>
        <w:rPr>
          <w:rFonts w:ascii="Franklin Gothic Demi" w:hAnsi="Franklin Gothic Demi"/>
          <w:color w:val="002060"/>
          <w:sz w:val="28"/>
        </w:rPr>
      </w:pPr>
    </w:p>
    <w:p w14:paraId="37FA147F" w14:textId="03F81D7F" w:rsidR="00676309" w:rsidRPr="00341C31" w:rsidRDefault="00676309" w:rsidP="00726B78">
      <w:pPr>
        <w:rPr>
          <w:rFonts w:ascii="Franklin Gothic Demi" w:hAnsi="Franklin Gothic Demi"/>
          <w:color w:val="002060"/>
          <w:sz w:val="28"/>
        </w:rPr>
      </w:pPr>
      <w:r w:rsidRPr="00341C31">
        <w:rPr>
          <w:rFonts w:ascii="Franklin Gothic Demi" w:hAnsi="Franklin Gothic Demi"/>
          <w:color w:val="002060"/>
          <w:sz w:val="28"/>
        </w:rPr>
        <w:t>CONCLUSION</w:t>
      </w:r>
    </w:p>
    <w:p w14:paraId="46A09E27" w14:textId="44DFD683" w:rsidR="002C1E17" w:rsidRPr="00341C31" w:rsidRDefault="008660D0" w:rsidP="006000BF">
      <w:r w:rsidRPr="00341C31">
        <w:rPr>
          <w:rFonts w:ascii="Franklin Gothic Demi" w:hAnsi="Franklin Gothic Demi"/>
          <w:noProof/>
          <w:color w:val="002060"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F3F89A" wp14:editId="2BD84650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436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7DD6DA"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1pt" to="46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" strokecolor="#002060">
                <v:stroke joinstyle="miter"/>
              </v:line>
            </w:pict>
          </mc:Fallback>
        </mc:AlternateContent>
      </w:r>
    </w:p>
    <w:p w14:paraId="2AD7B5F2" w14:textId="14643146" w:rsidR="00830810" w:rsidRPr="0061746C" w:rsidRDefault="00F60634" w:rsidP="00CA56DC">
      <w:pPr>
        <w:rPr>
          <w:rFonts w:eastAsia="Times New Roman" w:cs="Times New Roman"/>
        </w:rPr>
      </w:pPr>
      <w:r w:rsidRPr="0061746C">
        <w:rPr>
          <w:rFonts w:eastAsia="Times New Roman" w:cs="Times New Roman"/>
        </w:rPr>
        <w:t xml:space="preserve">Based on the facts and analysis above, FEMA </w:t>
      </w:r>
      <w:r w:rsidR="00CA56DC" w:rsidRPr="0061746C">
        <w:rPr>
          <w:rFonts w:eastAsia="Times New Roman" w:cs="Times New Roman"/>
        </w:rPr>
        <w:t>agrees with</w:t>
      </w:r>
      <w:r w:rsidRPr="0061746C">
        <w:rPr>
          <w:rFonts w:eastAsia="Times New Roman" w:cs="Times New Roman"/>
        </w:rPr>
        <w:t xml:space="preserve"> the insurer’s decision t</w:t>
      </w:r>
      <w:r w:rsidR="00390E78" w:rsidRPr="0061746C">
        <w:rPr>
          <w:rFonts w:eastAsia="Times New Roman" w:cs="Times New Roman"/>
        </w:rPr>
        <w:t xml:space="preserve">o deny </w:t>
      </w:r>
      <w:r w:rsidR="00CA56DC" w:rsidRPr="0061746C">
        <w:rPr>
          <w:rFonts w:eastAsia="Times New Roman" w:cs="Times New Roman"/>
        </w:rPr>
        <w:t>coverage due to no general and temporary condition of flood.</w:t>
      </w:r>
    </w:p>
    <w:p w14:paraId="62C2F836" w14:textId="6CB908C8" w:rsidR="00BE43A6" w:rsidRPr="0061746C" w:rsidRDefault="00BE43A6" w:rsidP="00CA56DC">
      <w:pPr>
        <w:rPr>
          <w:rFonts w:eastAsia="Times New Roman" w:cs="Times New Roman"/>
        </w:rPr>
      </w:pPr>
    </w:p>
    <w:p w14:paraId="1192C058" w14:textId="02E89203" w:rsidR="00BE43A6" w:rsidRPr="0061746C" w:rsidRDefault="00BE43A6" w:rsidP="0061746C">
      <w:pPr>
        <w:rPr>
          <w:rFonts w:eastAsia="Times New Roman" w:cs="Times New Roman"/>
        </w:rPr>
      </w:pPr>
      <w:r w:rsidRPr="0061746C">
        <w:rPr>
          <w:rFonts w:eastAsia="Times New Roman" w:cs="Times New Roman"/>
        </w:rPr>
        <w:t>If the policyholder still disagrees with the cause of loss and believes it was caused by a flood as defined by the SFIP,</w:t>
      </w:r>
      <w:r w:rsidR="00165C45" w:rsidRPr="0061746C">
        <w:rPr>
          <w:rFonts w:eastAsia="Times New Roman" w:cs="Times New Roman"/>
        </w:rPr>
        <w:t xml:space="preserve"> she</w:t>
      </w:r>
      <w:r w:rsidRPr="0061746C">
        <w:rPr>
          <w:rFonts w:eastAsia="Times New Roman" w:cs="Times New Roman"/>
        </w:rPr>
        <w:t xml:space="preserve"> should </w:t>
      </w:r>
      <w:r w:rsidR="00165C45" w:rsidRPr="0061746C">
        <w:rPr>
          <w:rFonts w:eastAsia="Times New Roman" w:cs="Times New Roman"/>
        </w:rPr>
        <w:t xml:space="preserve">submit </w:t>
      </w:r>
      <w:r w:rsidRPr="0061746C">
        <w:rPr>
          <w:rFonts w:eastAsia="Times New Roman" w:cs="Times New Roman"/>
        </w:rPr>
        <w:t xml:space="preserve">supporting documentation directly to the insurer for review. </w:t>
      </w:r>
    </w:p>
    <w:p w14:paraId="3E10E5B6" w14:textId="77777777" w:rsidR="00CA56DC" w:rsidRPr="002270EB" w:rsidRDefault="00CA56DC" w:rsidP="00CA56DC">
      <w:pPr>
        <w:rPr>
          <w:rFonts w:eastAsia="Times New Roman" w:cs="Times New Roman"/>
        </w:rPr>
      </w:pPr>
    </w:p>
    <w:p w14:paraId="2E007F63" w14:textId="77777777" w:rsidR="00676309" w:rsidRPr="007049BE" w:rsidRDefault="00676309" w:rsidP="006000BF"/>
    <w:p w14:paraId="6423BE32" w14:textId="77777777" w:rsidR="00676309" w:rsidRDefault="00676309" w:rsidP="006000BF"/>
    <w:p w14:paraId="4889B4E2" w14:textId="2218F25E" w:rsidR="00D21FDA" w:rsidRPr="008660D0" w:rsidRDefault="00D21FDA" w:rsidP="00067AF2">
      <w:pPr>
        <w:rPr>
          <w:rFonts w:ascii="Franklin Gothic Book" w:hAnsi="Franklin Gothic Book"/>
          <w:sz w:val="20"/>
        </w:rPr>
      </w:pPr>
      <w:r w:rsidRPr="008660D0">
        <w:rPr>
          <w:rFonts w:ascii="Franklin Gothic Demi" w:hAnsi="Franklin Gothic Demi"/>
          <w:color w:val="FF0000"/>
          <w:sz w:val="20"/>
        </w:rPr>
        <w:t xml:space="preserve">NOTICE: </w:t>
      </w:r>
      <w:r w:rsidRPr="008660D0">
        <w:rPr>
          <w:rFonts w:ascii="Franklin Gothic Book" w:hAnsi="Franklin Gothic Book"/>
          <w:sz w:val="20"/>
        </w:rPr>
        <w:t xml:space="preserve">Delivery of this Appeal Decision </w:t>
      </w:r>
      <w:r w:rsidRPr="008660D0">
        <w:rPr>
          <w:rFonts w:ascii="Franklin Gothic Demi" w:hAnsi="Franklin Gothic Demi"/>
          <w:sz w:val="20"/>
        </w:rPr>
        <w:t>concludes your appeal</w:t>
      </w:r>
      <w:r w:rsidRPr="008660D0">
        <w:rPr>
          <w:rFonts w:ascii="Franklin Gothic Book" w:hAnsi="Franklin Gothic Book"/>
          <w:sz w:val="20"/>
        </w:rPr>
        <w:t xml:space="preserve">, pursuant to 44 C.F.R. § 62.20(f)(3). </w:t>
      </w:r>
      <w:r w:rsidR="008660D0">
        <w:rPr>
          <w:rFonts w:ascii="Franklin Gothic Book" w:hAnsi="Franklin Gothic Book"/>
          <w:sz w:val="20"/>
        </w:rPr>
        <w:t xml:space="preserve">If you do </w:t>
      </w:r>
      <w:r w:rsidRPr="008660D0">
        <w:rPr>
          <w:rFonts w:ascii="Franklin Gothic Book" w:hAnsi="Franklin Gothic Book"/>
          <w:sz w:val="20"/>
        </w:rPr>
        <w:t>not agree with FEMA’s Appeal Decision</w:t>
      </w:r>
      <w:r w:rsidR="008660D0">
        <w:rPr>
          <w:rFonts w:ascii="Franklin Gothic Book" w:hAnsi="Franklin Gothic Book"/>
          <w:sz w:val="20"/>
        </w:rPr>
        <w:t>,</w:t>
      </w:r>
      <w:r w:rsidRPr="008660D0">
        <w:rPr>
          <w:rFonts w:ascii="Franklin Gothic Book" w:hAnsi="Franklin Gothic Book"/>
          <w:sz w:val="20"/>
        </w:rPr>
        <w:t xml:space="preserve"> </w:t>
      </w:r>
      <w:r w:rsidR="008660D0">
        <w:rPr>
          <w:rFonts w:ascii="Franklin Gothic Book" w:hAnsi="Franklin Gothic Book"/>
          <w:sz w:val="20"/>
        </w:rPr>
        <w:t xml:space="preserve">please </w:t>
      </w:r>
      <w:r w:rsidRPr="008660D0">
        <w:rPr>
          <w:rFonts w:ascii="Franklin Gothic Book" w:hAnsi="Franklin Gothic Book"/>
          <w:sz w:val="20"/>
        </w:rPr>
        <w:t xml:space="preserve">refer to the Standard Flood Insurance Policy for options for further action. </w:t>
      </w:r>
      <w:r w:rsidRPr="008660D0">
        <w:rPr>
          <w:rFonts w:ascii="Franklin Gothic Demi" w:hAnsi="Franklin Gothic Demi"/>
          <w:sz w:val="20"/>
        </w:rPr>
        <w:t xml:space="preserve">The </w:t>
      </w:r>
      <w:r w:rsidR="008660D0" w:rsidRPr="008660D0">
        <w:rPr>
          <w:rFonts w:ascii="Franklin Gothic Demi" w:hAnsi="Franklin Gothic Demi"/>
          <w:sz w:val="20"/>
        </w:rPr>
        <w:t xml:space="preserve">appeals process does not extend the </w:t>
      </w:r>
      <w:r w:rsidRPr="008660D0">
        <w:rPr>
          <w:rFonts w:ascii="Franklin Gothic Demi" w:hAnsi="Franklin Gothic Demi"/>
          <w:sz w:val="20"/>
        </w:rPr>
        <w:t xml:space="preserve">one-year period to file suit against the flood insurer </w:t>
      </w:r>
      <w:r w:rsidR="008660D0" w:rsidRPr="008660D0">
        <w:rPr>
          <w:rFonts w:ascii="Franklin Gothic Demi" w:hAnsi="Franklin Gothic Demi"/>
          <w:sz w:val="20"/>
        </w:rPr>
        <w:t>that began when the insurer denied your claim in writing</w:t>
      </w:r>
      <w:r w:rsidRPr="008660D0">
        <w:rPr>
          <w:rFonts w:ascii="Franklin Gothic Demi" w:hAnsi="Franklin Gothic Demi"/>
          <w:sz w:val="20"/>
        </w:rPr>
        <w:t xml:space="preserve">. </w:t>
      </w:r>
      <w:r w:rsidRPr="008660D0">
        <w:rPr>
          <w:rFonts w:ascii="Franklin Gothic Book" w:hAnsi="Franklin Gothic Book"/>
          <w:sz w:val="20"/>
          <w:u w:val="single"/>
        </w:rPr>
        <w:t>44 C.F.R. § 62.20(f)(4)</w:t>
      </w:r>
      <w:r w:rsidRPr="008660D0">
        <w:rPr>
          <w:rFonts w:ascii="Franklin Gothic Book" w:hAnsi="Franklin Gothic Book"/>
          <w:sz w:val="20"/>
        </w:rPr>
        <w:t xml:space="preserve">. </w:t>
      </w:r>
    </w:p>
    <w:p w14:paraId="65ED0D54" w14:textId="77777777" w:rsidR="00D21FDA" w:rsidRPr="008660D0" w:rsidRDefault="00D21FDA" w:rsidP="00067AF2">
      <w:pPr>
        <w:rPr>
          <w:rFonts w:ascii="Franklin Gothic Book" w:hAnsi="Franklin Gothic Book"/>
          <w:sz w:val="20"/>
        </w:rPr>
      </w:pPr>
    </w:p>
    <w:p w14:paraId="52253771" w14:textId="217BB946" w:rsidR="00D21FDA" w:rsidRPr="008660D0" w:rsidRDefault="008660D0" w:rsidP="00067AF2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You </w:t>
      </w:r>
      <w:r w:rsidR="00D21FDA" w:rsidRPr="008660D0">
        <w:rPr>
          <w:rFonts w:ascii="Franklin Gothic Book" w:hAnsi="Franklin Gothic Book"/>
          <w:sz w:val="20"/>
        </w:rPr>
        <w:t xml:space="preserve">may request a phone discussion with a FEMA flood insurance expert regarding this Appeals Decision by emailing </w:t>
      </w:r>
      <w:hyperlink r:id="rId12" w:history="1">
        <w:r w:rsidR="00D21FDA" w:rsidRPr="008660D0">
          <w:rPr>
            <w:rStyle w:val="Hyperlink"/>
            <w:rFonts w:ascii="Franklin Gothic Book" w:hAnsi="Franklin Gothic Book"/>
            <w:sz w:val="20"/>
          </w:rPr>
          <w:t>FEMA-FI-Appeals@fema.dhs.gov</w:t>
        </w:r>
      </w:hyperlink>
      <w:r w:rsidR="00D21FDA" w:rsidRPr="008660D0">
        <w:rPr>
          <w:rFonts w:ascii="Franklin Gothic Book" w:hAnsi="Franklin Gothic Book"/>
          <w:sz w:val="20"/>
        </w:rPr>
        <w:t xml:space="preserve"> and referencing the FEMA Flood Insurance Appeal Number </w:t>
      </w:r>
      <w:r>
        <w:rPr>
          <w:rFonts w:ascii="Franklin Gothic Book" w:hAnsi="Franklin Gothic Book"/>
          <w:sz w:val="20"/>
        </w:rPr>
        <w:t>shown above</w:t>
      </w:r>
      <w:r w:rsidR="00D21FDA" w:rsidRPr="008660D0">
        <w:rPr>
          <w:rFonts w:ascii="Franklin Gothic Book" w:hAnsi="Franklin Gothic Book"/>
          <w:sz w:val="20"/>
        </w:rPr>
        <w:t xml:space="preserve">. </w:t>
      </w:r>
      <w:r w:rsidR="00D21FDA" w:rsidRPr="008660D0">
        <w:rPr>
          <w:rFonts w:ascii="Franklin Gothic Demi" w:hAnsi="Franklin Gothic Demi"/>
          <w:sz w:val="20"/>
        </w:rPr>
        <w:t>Such discussions are for informational purposes only. FEMA will not reopen the appeal or consider new information during any phone discussion.</w:t>
      </w:r>
    </w:p>
    <w:p w14:paraId="0727A679" w14:textId="77777777" w:rsidR="00D21FDA" w:rsidRDefault="00D21FDA" w:rsidP="00676309"/>
    <w:p w14:paraId="4A447E12" w14:textId="77777777" w:rsidR="00676309" w:rsidRDefault="00676309" w:rsidP="00676309"/>
    <w:p w14:paraId="40A566AF" w14:textId="77777777" w:rsidR="00676309" w:rsidRDefault="00676309" w:rsidP="00676309"/>
    <w:p w14:paraId="246121DD" w14:textId="77777777" w:rsidR="0014149D" w:rsidRDefault="0014149D"/>
    <w:sectPr w:rsidR="0014149D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41D95" w14:textId="77777777" w:rsidR="009A2C53" w:rsidRDefault="009A2C53">
      <w:pPr>
        <w:spacing w:line="240" w:lineRule="auto"/>
      </w:pPr>
      <w:r>
        <w:separator/>
      </w:r>
    </w:p>
  </w:endnote>
  <w:endnote w:type="continuationSeparator" w:id="0">
    <w:p w14:paraId="778A2728" w14:textId="77777777" w:rsidR="009A2C53" w:rsidRDefault="009A2C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93330748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26776D97" w14:textId="524B5D39" w:rsidR="006357E1" w:rsidRPr="004F2BAE" w:rsidRDefault="006357E1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4F2BAE">
          <w:fldChar w:fldCharType="begin"/>
        </w:r>
        <w:r w:rsidRPr="004F2BAE">
          <w:instrText xml:space="preserve"> PAGE   \* MERGEFORMAT </w:instrText>
        </w:r>
        <w:r w:rsidRPr="004F2BAE">
          <w:fldChar w:fldCharType="separate"/>
        </w:r>
        <w:r w:rsidR="00DE4370" w:rsidRPr="004F2BAE">
          <w:rPr>
            <w:noProof/>
          </w:rPr>
          <w:t>4</w:t>
        </w:r>
        <w:r w:rsidRPr="004F2BAE">
          <w:rPr>
            <w:noProof/>
          </w:rPr>
          <w:fldChar w:fldCharType="end"/>
        </w:r>
        <w:r w:rsidRPr="004F2BAE">
          <w:t xml:space="preserve"> | FEMA </w:t>
        </w:r>
        <w:sdt>
          <w:sdtPr>
            <w:rPr>
              <w:rFonts w:cs="Times New Roman"/>
              <w:shd w:val="clear" w:color="auto" w:fill="FFFFFF"/>
            </w:rPr>
            <w:id w:val="-2056851393"/>
            <w:placeholder>
              <w:docPart w:val="829BD637D5FB422A83B4FED6C9D0E282"/>
            </w:placeholder>
            <w:text/>
          </w:sdtPr>
          <w:sdtEndPr/>
          <w:sdtContent>
            <w:r w:rsidR="00A02AA5">
              <w:rPr>
                <w:rFonts w:cs="Times New Roman"/>
                <w:shd w:val="clear" w:color="auto" w:fill="FFFFFF"/>
              </w:rPr>
              <w:t>#A7</w:t>
            </w:r>
          </w:sdtContent>
        </w:sdt>
      </w:p>
    </w:sdtContent>
  </w:sdt>
  <w:p w14:paraId="4EB408E7" w14:textId="77777777" w:rsidR="006357E1" w:rsidRDefault="006357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FE70D" w14:textId="77777777" w:rsidR="009A2C53" w:rsidRDefault="009A2C53">
      <w:pPr>
        <w:spacing w:line="240" w:lineRule="auto"/>
      </w:pPr>
      <w:r>
        <w:separator/>
      </w:r>
    </w:p>
  </w:footnote>
  <w:footnote w:type="continuationSeparator" w:id="0">
    <w:p w14:paraId="75120217" w14:textId="77777777" w:rsidR="009A2C53" w:rsidRDefault="009A2C53">
      <w:pPr>
        <w:spacing w:line="240" w:lineRule="auto"/>
      </w:pPr>
      <w:r>
        <w:continuationSeparator/>
      </w:r>
    </w:p>
  </w:footnote>
  <w:footnote w:id="1">
    <w:p w14:paraId="605A90F1" w14:textId="37BF32FA" w:rsidR="006357E1" w:rsidRPr="0061746C" w:rsidRDefault="006357E1" w:rsidP="00CF6FCC">
      <w:pPr>
        <w:spacing w:before="42" w:line="240" w:lineRule="auto"/>
        <w:ind w:right="-14"/>
        <w:rPr>
          <w:rFonts w:eastAsia="Times New Roman" w:cs="Times New Roman"/>
          <w:sz w:val="20"/>
          <w:szCs w:val="20"/>
        </w:rPr>
      </w:pPr>
      <w:r w:rsidRPr="006653D5">
        <w:rPr>
          <w:rStyle w:val="FootnoteReference"/>
          <w:sz w:val="20"/>
          <w:szCs w:val="20"/>
        </w:rPr>
        <w:footnoteRef/>
      </w:r>
      <w:r w:rsidRPr="006653D5">
        <w:rPr>
          <w:sz w:val="20"/>
          <w:szCs w:val="20"/>
        </w:rPr>
        <w:t xml:space="preserve"> </w:t>
      </w:r>
      <w:r w:rsidRPr="0061746C">
        <w:rPr>
          <w:rFonts w:eastAsia="Times New Roman" w:cs="Times New Roman"/>
          <w:i/>
          <w:sz w:val="20"/>
          <w:szCs w:val="20"/>
        </w:rPr>
        <w:t xml:space="preserve">See </w:t>
      </w:r>
      <w:r w:rsidRPr="0061746C">
        <w:rPr>
          <w:rFonts w:eastAsia="Times New Roman" w:cs="Times New Roman"/>
          <w:sz w:val="20"/>
          <w:szCs w:val="20"/>
        </w:rPr>
        <w:t>44 C.F.R. § 61.13 (</w:t>
      </w:r>
      <w:r w:rsidR="00D25224" w:rsidRPr="0061746C">
        <w:rPr>
          <w:rFonts w:eastAsia="Times New Roman" w:cs="Times New Roman"/>
          <w:sz w:val="20"/>
          <w:szCs w:val="20"/>
        </w:rPr>
        <w:t>2019</w:t>
      </w:r>
      <w:r w:rsidRPr="0061746C">
        <w:rPr>
          <w:rFonts w:eastAsia="Times New Roman" w:cs="Times New Roman"/>
          <w:sz w:val="20"/>
          <w:szCs w:val="20"/>
        </w:rPr>
        <w:t xml:space="preserve">); Dwelling </w:t>
      </w:r>
      <w:r w:rsidR="005F0EAD" w:rsidRPr="0061746C">
        <w:rPr>
          <w:rFonts w:eastAsia="Times New Roman" w:cs="Times New Roman"/>
          <w:sz w:val="20"/>
          <w:szCs w:val="20"/>
        </w:rPr>
        <w:t xml:space="preserve">Form </w:t>
      </w:r>
      <w:r w:rsidRPr="0061746C">
        <w:rPr>
          <w:rFonts w:eastAsia="Times New Roman" w:cs="Times New Roman"/>
          <w:sz w:val="20"/>
          <w:szCs w:val="20"/>
        </w:rPr>
        <w:t>available at 44 C.F.R. pt. 61 App. A(1) [hereinafter “SFIP”].</w:t>
      </w:r>
    </w:p>
  </w:footnote>
  <w:footnote w:id="2">
    <w:p w14:paraId="0D77448C" w14:textId="00897594" w:rsidR="006357E1" w:rsidRPr="0061746C" w:rsidRDefault="006357E1" w:rsidP="00F60634">
      <w:pPr>
        <w:pStyle w:val="FootnoteText"/>
        <w:rPr>
          <w:rFonts w:eastAsia="Times New Roman" w:cs="Times New Roman"/>
        </w:rPr>
      </w:pPr>
      <w:r w:rsidRPr="0061746C">
        <w:rPr>
          <w:rStyle w:val="FootnoteReference"/>
        </w:rPr>
        <w:footnoteRef/>
      </w:r>
      <w:r w:rsidRPr="0061746C">
        <w:t xml:space="preserve"> </w:t>
      </w:r>
      <w:r w:rsidR="00332A68" w:rsidRPr="0061746C">
        <w:rPr>
          <w:rFonts w:eastAsia="Times New Roman" w:cs="Times New Roman"/>
        </w:rPr>
        <w:t>The policyholder files this appeal under 44 C.F.R. § 62.20. The appeals process is available after the insurer issues a written denial, in whole or in part, of the policyholder’s claim.</w:t>
      </w:r>
      <w:r w:rsidR="00332A68" w:rsidRPr="0061746C">
        <w:t xml:space="preserve"> </w:t>
      </w:r>
      <w:r w:rsidRPr="0061746C">
        <w:t>The policyholder</w:t>
      </w:r>
      <w:r w:rsidR="00332A68" w:rsidRPr="0061746C">
        <w:t>’s</w:t>
      </w:r>
      <w:r w:rsidRPr="0061746C">
        <w:t xml:space="preserve"> appeal and related documents concerning the appeal, claim, or policy are on file with FEMA, Federal Insurance and Mitigation Administration, Federal Insurance</w:t>
      </w:r>
      <w:r w:rsidR="00D54004" w:rsidRPr="0061746C">
        <w:t xml:space="preserve"> Directorate</w:t>
      </w:r>
      <w:r w:rsidRPr="0061746C">
        <w:t>, Policyholder Services Division, Appeals Branch [hereinafter “</w:t>
      </w:r>
      <w:r w:rsidR="005F0EAD" w:rsidRPr="0061746C">
        <w:t>Appeal File</w:t>
      </w:r>
      <w:r w:rsidRPr="0061746C">
        <w:t>”]</w:t>
      </w:r>
      <w:r w:rsidR="00D46895" w:rsidRPr="0061746C">
        <w:t>.</w:t>
      </w:r>
    </w:p>
  </w:footnote>
  <w:footnote w:id="3">
    <w:p w14:paraId="41FA96E5" w14:textId="265389BB" w:rsidR="0075000D" w:rsidRDefault="0075000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5000D">
        <w:rPr>
          <w:i/>
          <w:iCs/>
        </w:rPr>
        <w:t>See</w:t>
      </w:r>
      <w:r>
        <w:t xml:space="preserve"> SFIP (I), (II)(B)(12).</w:t>
      </w:r>
    </w:p>
  </w:footnote>
  <w:footnote w:id="4">
    <w:p w14:paraId="686B9235" w14:textId="1746C68C" w:rsidR="0075000D" w:rsidRDefault="0075000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5000D">
        <w:rPr>
          <w:i/>
        </w:rPr>
        <w:t>See</w:t>
      </w:r>
      <w:r w:rsidRPr="0075000D">
        <w:t xml:space="preserve"> SFIP (II)(A)(1)</w:t>
      </w:r>
      <w:r>
        <w:t>.</w:t>
      </w:r>
    </w:p>
  </w:footnote>
  <w:footnote w:id="5">
    <w:p w14:paraId="4D02C24C" w14:textId="7095E81F" w:rsidR="0075000D" w:rsidRDefault="0075000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5000D">
        <w:rPr>
          <w:i/>
          <w:iCs/>
        </w:rPr>
        <w:t>See</w:t>
      </w:r>
      <w:r w:rsidRPr="0075000D">
        <w:rPr>
          <w:iCs/>
        </w:rPr>
        <w:t xml:space="preserve"> SFIP (V)(D)(5)</w:t>
      </w:r>
      <w:r>
        <w:rPr>
          <w:iCs/>
        </w:rPr>
        <w:t>.</w:t>
      </w:r>
    </w:p>
  </w:footnote>
  <w:footnote w:id="6">
    <w:p w14:paraId="7B906AD6" w14:textId="47904719" w:rsidR="00330706" w:rsidRDefault="003307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1746C">
        <w:rPr>
          <w:i/>
          <w:iCs/>
        </w:rPr>
        <w:t xml:space="preserve">See </w:t>
      </w:r>
      <w:r w:rsidRPr="00330706">
        <w:t>NFIP Claims Manual</w:t>
      </w:r>
      <w:r w:rsidR="00221901">
        <w:t xml:space="preserve"> - </w:t>
      </w:r>
      <w:r w:rsidRPr="00330706">
        <w:t xml:space="preserve">Definitions (May </w:t>
      </w:r>
      <w:r w:rsidR="00221901">
        <w:t xml:space="preserve">1, </w:t>
      </w:r>
      <w:r w:rsidRPr="00330706">
        <w:t>2020).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AB43D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85AF8"/>
    <w:multiLevelType w:val="hybridMultilevel"/>
    <w:tmpl w:val="40325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81535"/>
    <w:multiLevelType w:val="hybridMultilevel"/>
    <w:tmpl w:val="94040B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6A6D36"/>
    <w:multiLevelType w:val="hybridMultilevel"/>
    <w:tmpl w:val="8AC2D4D2"/>
    <w:lvl w:ilvl="0" w:tplc="1518B9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A5CCE"/>
    <w:multiLevelType w:val="hybridMultilevel"/>
    <w:tmpl w:val="3F9C9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C08B4"/>
    <w:multiLevelType w:val="hybridMultilevel"/>
    <w:tmpl w:val="0654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2109E"/>
    <w:multiLevelType w:val="hybridMultilevel"/>
    <w:tmpl w:val="D4705A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D705106"/>
    <w:multiLevelType w:val="hybridMultilevel"/>
    <w:tmpl w:val="0F5EF3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8F54D0"/>
    <w:multiLevelType w:val="hybridMultilevel"/>
    <w:tmpl w:val="D1BEE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F7D21"/>
    <w:multiLevelType w:val="hybridMultilevel"/>
    <w:tmpl w:val="53F2F95A"/>
    <w:lvl w:ilvl="0" w:tplc="945622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xMjIyMDI0sDA2MDJT0lEKTi0uzszPAykwrAUA7ZQrIywAAAA="/>
  </w:docVars>
  <w:rsids>
    <w:rsidRoot w:val="00676309"/>
    <w:rsid w:val="00015A52"/>
    <w:rsid w:val="00021007"/>
    <w:rsid w:val="00035019"/>
    <w:rsid w:val="0006276A"/>
    <w:rsid w:val="00067AF2"/>
    <w:rsid w:val="000736F0"/>
    <w:rsid w:val="0008542C"/>
    <w:rsid w:val="00090CF3"/>
    <w:rsid w:val="000947A8"/>
    <w:rsid w:val="00096BBD"/>
    <w:rsid w:val="000A0170"/>
    <w:rsid w:val="000A30D5"/>
    <w:rsid w:val="000D1908"/>
    <w:rsid w:val="000D5608"/>
    <w:rsid w:val="000F585F"/>
    <w:rsid w:val="0011707D"/>
    <w:rsid w:val="001175D0"/>
    <w:rsid w:val="001178ED"/>
    <w:rsid w:val="001273A3"/>
    <w:rsid w:val="001275C5"/>
    <w:rsid w:val="0014149D"/>
    <w:rsid w:val="0014535E"/>
    <w:rsid w:val="00155731"/>
    <w:rsid w:val="00163EEE"/>
    <w:rsid w:val="00164719"/>
    <w:rsid w:val="00165C45"/>
    <w:rsid w:val="001866AA"/>
    <w:rsid w:val="00194654"/>
    <w:rsid w:val="001B163F"/>
    <w:rsid w:val="001B26A4"/>
    <w:rsid w:val="001C3A97"/>
    <w:rsid w:val="001E2AB4"/>
    <w:rsid w:val="001E39E3"/>
    <w:rsid w:val="001F50A8"/>
    <w:rsid w:val="00221901"/>
    <w:rsid w:val="0022224A"/>
    <w:rsid w:val="00223867"/>
    <w:rsid w:val="00227571"/>
    <w:rsid w:val="00236641"/>
    <w:rsid w:val="002417CA"/>
    <w:rsid w:val="00252618"/>
    <w:rsid w:val="00255D55"/>
    <w:rsid w:val="00262C7E"/>
    <w:rsid w:val="00264B0A"/>
    <w:rsid w:val="00273FF8"/>
    <w:rsid w:val="0027568D"/>
    <w:rsid w:val="00287331"/>
    <w:rsid w:val="00292865"/>
    <w:rsid w:val="002952F6"/>
    <w:rsid w:val="002B09C9"/>
    <w:rsid w:val="002B168D"/>
    <w:rsid w:val="002B24FA"/>
    <w:rsid w:val="002B62AC"/>
    <w:rsid w:val="002C1E17"/>
    <w:rsid w:val="002D63DE"/>
    <w:rsid w:val="002D723E"/>
    <w:rsid w:val="002F1D72"/>
    <w:rsid w:val="00302F76"/>
    <w:rsid w:val="00312EFB"/>
    <w:rsid w:val="00330706"/>
    <w:rsid w:val="00331613"/>
    <w:rsid w:val="00332A68"/>
    <w:rsid w:val="00332B7F"/>
    <w:rsid w:val="00334307"/>
    <w:rsid w:val="003346B8"/>
    <w:rsid w:val="00341C31"/>
    <w:rsid w:val="0035012E"/>
    <w:rsid w:val="00351003"/>
    <w:rsid w:val="00352FBA"/>
    <w:rsid w:val="0037074D"/>
    <w:rsid w:val="00377FE4"/>
    <w:rsid w:val="00390E78"/>
    <w:rsid w:val="003A56E3"/>
    <w:rsid w:val="003D1EE1"/>
    <w:rsid w:val="003D51B9"/>
    <w:rsid w:val="003E09CA"/>
    <w:rsid w:val="003E2990"/>
    <w:rsid w:val="00421E96"/>
    <w:rsid w:val="00437106"/>
    <w:rsid w:val="004519B5"/>
    <w:rsid w:val="004564E9"/>
    <w:rsid w:val="00474DBE"/>
    <w:rsid w:val="00490596"/>
    <w:rsid w:val="004A0BBD"/>
    <w:rsid w:val="004B5697"/>
    <w:rsid w:val="004F2BAE"/>
    <w:rsid w:val="005027A3"/>
    <w:rsid w:val="00514834"/>
    <w:rsid w:val="00520F3D"/>
    <w:rsid w:val="00534A48"/>
    <w:rsid w:val="005401A1"/>
    <w:rsid w:val="005474D9"/>
    <w:rsid w:val="0056030A"/>
    <w:rsid w:val="005637B6"/>
    <w:rsid w:val="00566659"/>
    <w:rsid w:val="00570362"/>
    <w:rsid w:val="0059155A"/>
    <w:rsid w:val="005A3D87"/>
    <w:rsid w:val="005B4086"/>
    <w:rsid w:val="005C0DAB"/>
    <w:rsid w:val="005D3807"/>
    <w:rsid w:val="005F0DD7"/>
    <w:rsid w:val="005F0EAD"/>
    <w:rsid w:val="006000BF"/>
    <w:rsid w:val="006022C2"/>
    <w:rsid w:val="00607714"/>
    <w:rsid w:val="0061746C"/>
    <w:rsid w:val="0062161E"/>
    <w:rsid w:val="00622C00"/>
    <w:rsid w:val="006247C3"/>
    <w:rsid w:val="00627D7D"/>
    <w:rsid w:val="00630DB4"/>
    <w:rsid w:val="006357E1"/>
    <w:rsid w:val="00635CCB"/>
    <w:rsid w:val="00663B41"/>
    <w:rsid w:val="006653D5"/>
    <w:rsid w:val="00670AAB"/>
    <w:rsid w:val="006756C5"/>
    <w:rsid w:val="00676309"/>
    <w:rsid w:val="00680ABF"/>
    <w:rsid w:val="0069681B"/>
    <w:rsid w:val="006C4E21"/>
    <w:rsid w:val="006D35C0"/>
    <w:rsid w:val="006E51F5"/>
    <w:rsid w:val="006F40FC"/>
    <w:rsid w:val="00716E20"/>
    <w:rsid w:val="00717603"/>
    <w:rsid w:val="00726B78"/>
    <w:rsid w:val="0073253B"/>
    <w:rsid w:val="0074153C"/>
    <w:rsid w:val="00747E5F"/>
    <w:rsid w:val="0075000D"/>
    <w:rsid w:val="0075271D"/>
    <w:rsid w:val="007548DA"/>
    <w:rsid w:val="00771920"/>
    <w:rsid w:val="00773312"/>
    <w:rsid w:val="00777DEE"/>
    <w:rsid w:val="007A325B"/>
    <w:rsid w:val="007B2046"/>
    <w:rsid w:val="007B33F5"/>
    <w:rsid w:val="00804817"/>
    <w:rsid w:val="00805852"/>
    <w:rsid w:val="00821535"/>
    <w:rsid w:val="008229F2"/>
    <w:rsid w:val="00826CC5"/>
    <w:rsid w:val="00830810"/>
    <w:rsid w:val="00833C29"/>
    <w:rsid w:val="008340E6"/>
    <w:rsid w:val="0084485A"/>
    <w:rsid w:val="00855501"/>
    <w:rsid w:val="008660D0"/>
    <w:rsid w:val="00866DD7"/>
    <w:rsid w:val="00867E9F"/>
    <w:rsid w:val="0088406B"/>
    <w:rsid w:val="0088614B"/>
    <w:rsid w:val="00897809"/>
    <w:rsid w:val="008B67C7"/>
    <w:rsid w:val="008B7A26"/>
    <w:rsid w:val="008C45C4"/>
    <w:rsid w:val="008D0495"/>
    <w:rsid w:val="008F6C54"/>
    <w:rsid w:val="00904972"/>
    <w:rsid w:val="0090503E"/>
    <w:rsid w:val="00906E3C"/>
    <w:rsid w:val="009167D1"/>
    <w:rsid w:val="009231DA"/>
    <w:rsid w:val="00937EC5"/>
    <w:rsid w:val="0094089A"/>
    <w:rsid w:val="00941136"/>
    <w:rsid w:val="00941F1E"/>
    <w:rsid w:val="00947930"/>
    <w:rsid w:val="009500E7"/>
    <w:rsid w:val="00982AE5"/>
    <w:rsid w:val="0098402E"/>
    <w:rsid w:val="009A2C53"/>
    <w:rsid w:val="009A4840"/>
    <w:rsid w:val="009B2A47"/>
    <w:rsid w:val="009B7E32"/>
    <w:rsid w:val="009C0AC6"/>
    <w:rsid w:val="009C1297"/>
    <w:rsid w:val="009C15C1"/>
    <w:rsid w:val="009F17B3"/>
    <w:rsid w:val="00A01D6D"/>
    <w:rsid w:val="00A02AA5"/>
    <w:rsid w:val="00A12E13"/>
    <w:rsid w:val="00A1324D"/>
    <w:rsid w:val="00A42294"/>
    <w:rsid w:val="00A47EC3"/>
    <w:rsid w:val="00A51484"/>
    <w:rsid w:val="00A53844"/>
    <w:rsid w:val="00A550AF"/>
    <w:rsid w:val="00A7017E"/>
    <w:rsid w:val="00A71A04"/>
    <w:rsid w:val="00A73293"/>
    <w:rsid w:val="00A75959"/>
    <w:rsid w:val="00A92DE0"/>
    <w:rsid w:val="00A97F8A"/>
    <w:rsid w:val="00AA5BCB"/>
    <w:rsid w:val="00AB7101"/>
    <w:rsid w:val="00AD622C"/>
    <w:rsid w:val="00AF43D1"/>
    <w:rsid w:val="00AF6468"/>
    <w:rsid w:val="00B039E7"/>
    <w:rsid w:val="00B13184"/>
    <w:rsid w:val="00B16930"/>
    <w:rsid w:val="00B43215"/>
    <w:rsid w:val="00B80917"/>
    <w:rsid w:val="00B91AC5"/>
    <w:rsid w:val="00BA0A49"/>
    <w:rsid w:val="00BA37F2"/>
    <w:rsid w:val="00BD4914"/>
    <w:rsid w:val="00BD5EFE"/>
    <w:rsid w:val="00BD6207"/>
    <w:rsid w:val="00BE3479"/>
    <w:rsid w:val="00BE43A6"/>
    <w:rsid w:val="00BF55AE"/>
    <w:rsid w:val="00C025CC"/>
    <w:rsid w:val="00C07BAF"/>
    <w:rsid w:val="00C2574F"/>
    <w:rsid w:val="00C26128"/>
    <w:rsid w:val="00C3555E"/>
    <w:rsid w:val="00C44C1D"/>
    <w:rsid w:val="00C544D4"/>
    <w:rsid w:val="00C7472D"/>
    <w:rsid w:val="00C76882"/>
    <w:rsid w:val="00C846B9"/>
    <w:rsid w:val="00C86FA3"/>
    <w:rsid w:val="00C9245F"/>
    <w:rsid w:val="00CA56DC"/>
    <w:rsid w:val="00CF6FCC"/>
    <w:rsid w:val="00D04ECA"/>
    <w:rsid w:val="00D0532C"/>
    <w:rsid w:val="00D20423"/>
    <w:rsid w:val="00D21FDA"/>
    <w:rsid w:val="00D24DB8"/>
    <w:rsid w:val="00D25224"/>
    <w:rsid w:val="00D27C7F"/>
    <w:rsid w:val="00D31C69"/>
    <w:rsid w:val="00D437DB"/>
    <w:rsid w:val="00D46895"/>
    <w:rsid w:val="00D54004"/>
    <w:rsid w:val="00D72722"/>
    <w:rsid w:val="00D72F76"/>
    <w:rsid w:val="00DA637B"/>
    <w:rsid w:val="00DE4370"/>
    <w:rsid w:val="00DE70C4"/>
    <w:rsid w:val="00DF5F0E"/>
    <w:rsid w:val="00E2196F"/>
    <w:rsid w:val="00E25DAC"/>
    <w:rsid w:val="00E423D9"/>
    <w:rsid w:val="00E42FE7"/>
    <w:rsid w:val="00E473C5"/>
    <w:rsid w:val="00E5377B"/>
    <w:rsid w:val="00E55017"/>
    <w:rsid w:val="00E5748A"/>
    <w:rsid w:val="00E779AE"/>
    <w:rsid w:val="00E860C9"/>
    <w:rsid w:val="00EB561F"/>
    <w:rsid w:val="00EB64F6"/>
    <w:rsid w:val="00EC2D27"/>
    <w:rsid w:val="00EC3525"/>
    <w:rsid w:val="00ED1639"/>
    <w:rsid w:val="00ED7B36"/>
    <w:rsid w:val="00EE7EB9"/>
    <w:rsid w:val="00EF7CF1"/>
    <w:rsid w:val="00F00677"/>
    <w:rsid w:val="00F22ED6"/>
    <w:rsid w:val="00F265CE"/>
    <w:rsid w:val="00F426D5"/>
    <w:rsid w:val="00F4310E"/>
    <w:rsid w:val="00F4365F"/>
    <w:rsid w:val="00F547B0"/>
    <w:rsid w:val="00F60634"/>
    <w:rsid w:val="00F60C94"/>
    <w:rsid w:val="00F87FB4"/>
    <w:rsid w:val="00F927B0"/>
    <w:rsid w:val="00F92F31"/>
    <w:rsid w:val="00F93A52"/>
    <w:rsid w:val="00F94515"/>
    <w:rsid w:val="00FA0911"/>
    <w:rsid w:val="00FB2494"/>
    <w:rsid w:val="00FB48C4"/>
    <w:rsid w:val="00FE073B"/>
    <w:rsid w:val="00FE19D4"/>
    <w:rsid w:val="00FF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EF0E2"/>
  <w15:docId w15:val="{E226D113-41C4-4746-AEC7-32F2029C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309"/>
    <w:pPr>
      <w:spacing w:after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3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63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30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763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309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763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3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309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3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3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1FD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1E9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1E96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1E96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3C5"/>
    <w:rPr>
      <w:rFonts w:ascii="Times New Roman" w:hAnsi="Times New Roman"/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067AF2"/>
    <w:pPr>
      <w:numPr>
        <w:numId w:val="8"/>
      </w:numPr>
      <w:contextualSpacing/>
    </w:pPr>
  </w:style>
  <w:style w:type="paragraph" w:styleId="Revision">
    <w:name w:val="Revision"/>
    <w:hidden/>
    <w:uiPriority w:val="99"/>
    <w:semiHidden/>
    <w:rsid w:val="00BF55AE"/>
    <w:pPr>
      <w:spacing w:after="0" w:line="240" w:lineRule="auto"/>
    </w:pPr>
    <w:rPr>
      <w:rFonts w:ascii="Times New Roman" w:hAnsi="Times New Roman"/>
    </w:rPr>
  </w:style>
  <w:style w:type="paragraph" w:customStyle="1" w:styleId="Default">
    <w:name w:val="Default"/>
    <w:rsid w:val="00FB48C4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1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EMA-FI-Appeals@fema.dhs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29BD637D5FB422A83B4FED6C9D0E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C63CF-0AEE-4CDF-A58E-3E94F98B09C7}"/>
      </w:docPartPr>
      <w:docPartBody>
        <w:p w:rsidR="00970ACD" w:rsidRDefault="00620A80" w:rsidP="00620A80">
          <w:pPr>
            <w:pStyle w:val="829BD637D5FB422A83B4FED6C9D0E282"/>
          </w:pPr>
          <w:r w:rsidRPr="00744D4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80"/>
    <w:rsid w:val="00003E45"/>
    <w:rsid w:val="000853A3"/>
    <w:rsid w:val="002B7D1F"/>
    <w:rsid w:val="003F2326"/>
    <w:rsid w:val="00432014"/>
    <w:rsid w:val="005345D5"/>
    <w:rsid w:val="00586A86"/>
    <w:rsid w:val="00591DEF"/>
    <w:rsid w:val="005B1F5E"/>
    <w:rsid w:val="005F4EA6"/>
    <w:rsid w:val="00620A80"/>
    <w:rsid w:val="0069215B"/>
    <w:rsid w:val="007A1C55"/>
    <w:rsid w:val="007A724F"/>
    <w:rsid w:val="00965488"/>
    <w:rsid w:val="00970ACD"/>
    <w:rsid w:val="00B3681D"/>
    <w:rsid w:val="00B501FB"/>
    <w:rsid w:val="00B64F6C"/>
    <w:rsid w:val="00B772FC"/>
    <w:rsid w:val="00B961A2"/>
    <w:rsid w:val="00BB036F"/>
    <w:rsid w:val="00C16222"/>
    <w:rsid w:val="00C43642"/>
    <w:rsid w:val="00C64D17"/>
    <w:rsid w:val="00C85CA5"/>
    <w:rsid w:val="00CF23D5"/>
    <w:rsid w:val="00D275C8"/>
    <w:rsid w:val="00D710D1"/>
    <w:rsid w:val="00DB5495"/>
    <w:rsid w:val="00DF2025"/>
    <w:rsid w:val="00F1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0A80"/>
    <w:rPr>
      <w:color w:val="808080"/>
    </w:rPr>
  </w:style>
  <w:style w:type="paragraph" w:customStyle="1" w:styleId="829BD637D5FB422A83B4FED6C9D0E282">
    <w:name w:val="829BD637D5FB422A83B4FED6C9D0E282"/>
    <w:rsid w:val="00620A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E43982-06E0-46C4-BA54-EC61BDA6A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282C9D-72C0-4972-BEBA-EA476C5A46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EADB3F-3C93-4D75-BE32-D14E81817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44445C-548C-4E7B-96BB-890E0ABA36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FEMA.NET</Company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Sado, Keith</dc:creator>
  <cp:lastModifiedBy>Crandol, Jonnese</cp:lastModifiedBy>
  <cp:revision>2</cp:revision>
  <cp:lastPrinted>2019-11-12T15:58:00Z</cp:lastPrinted>
  <dcterms:created xsi:type="dcterms:W3CDTF">2021-12-03T20:22:00Z</dcterms:created>
  <dcterms:modified xsi:type="dcterms:W3CDTF">2021-12-03T20:22:00Z</dcterms:modified>
</cp:coreProperties>
</file>